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4C1666" w14:paraId="022A6E70" w14:textId="77777777" w:rsidTr="00FD6B4C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77777777" w:rsidR="00F341B6" w:rsidRPr="00510CD2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10CD2">
              <w:rPr>
                <w:rFonts w:ascii="Arial Narrow" w:hAnsi="Arial Narrow"/>
                <w:b/>
                <w:sz w:val="24"/>
                <w:szCs w:val="24"/>
              </w:rPr>
              <w:t>Descriptive and reflective of the intention of the resolution</w:t>
            </w:r>
          </w:p>
        </w:tc>
      </w:tr>
      <w:tr w:rsidR="00F341B6" w:rsidRPr="004C1666" w14:paraId="18E8ACE5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77777777" w:rsidR="00F341B6" w:rsidRPr="004C1666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 xml:space="preserve">Health, Education, Treaties, </w:t>
            </w:r>
            <w:proofErr w:type="spellStart"/>
            <w:r w:rsidR="00B227B8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</w:p>
        </w:tc>
      </w:tr>
      <w:tr w:rsidR="00F341B6" w:rsidRPr="004C1666" w14:paraId="1E4AA843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EDCF90A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  <w:tr w:rsidR="00F341B6" w:rsidRPr="004C1666" w14:paraId="26A5048E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2000AA5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</w:tbl>
    <w:p w14:paraId="23AC804C" w14:textId="77777777" w:rsidR="004077C7" w:rsidRDefault="004077C7" w:rsidP="00F470A8">
      <w:pPr>
        <w:pStyle w:val="NoSpacing"/>
        <w:rPr>
          <w:rFonts w:ascii="Arial Narrow" w:hAnsi="Arial Narrow"/>
          <w:sz w:val="24"/>
          <w:szCs w:val="24"/>
        </w:rPr>
      </w:pPr>
    </w:p>
    <w:p w14:paraId="2BC2ACBE" w14:textId="77777777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r w:rsidRPr="00F341B6">
        <w:rPr>
          <w:rFonts w:ascii="Arial Narrow" w:hAnsi="Arial Narrow"/>
          <w:b/>
          <w:sz w:val="24"/>
          <w:szCs w:val="24"/>
        </w:rPr>
        <w:t>WHEREAS:</w:t>
      </w:r>
    </w:p>
    <w:p w14:paraId="6669B349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All resolutions should begin by citing relevant sections of the United Nations Declaration on the Rights of Indigenous Peoples (</w:t>
      </w:r>
      <w:hyperlink r:id="rId7" w:history="1">
        <w:r w:rsidRPr="001B398C">
          <w:rPr>
            <w:rStyle w:val="Hyperlink"/>
            <w:rFonts w:ascii="Arial Narrow" w:hAnsi="Arial Narrow"/>
            <w:sz w:val="24"/>
            <w:szCs w:val="24"/>
          </w:rPr>
          <w:t>http://www.un.org/esa/socdev/unpfii/documents/DRIPS_en.pdf</w:t>
        </w:r>
      </w:hyperlink>
      <w:r>
        <w:rPr>
          <w:rFonts w:ascii="Arial Narrow" w:hAnsi="Arial Narrow"/>
          <w:sz w:val="24"/>
          <w:szCs w:val="24"/>
        </w:rPr>
        <w:t>)</w:t>
      </w:r>
    </w:p>
    <w:p w14:paraId="000FF58E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 xml:space="preserve">This section provides </w:t>
      </w:r>
      <w:proofErr w:type="gramStart"/>
      <w:r w:rsidRPr="00F341B6">
        <w:rPr>
          <w:rFonts w:ascii="Arial Narrow" w:hAnsi="Arial Narrow"/>
          <w:sz w:val="24"/>
          <w:szCs w:val="24"/>
        </w:rPr>
        <w:t>the background</w:t>
      </w:r>
      <w:proofErr w:type="gramEnd"/>
      <w:r w:rsidRPr="00F341B6">
        <w:rPr>
          <w:rFonts w:ascii="Arial Narrow" w:hAnsi="Arial Narrow"/>
          <w:sz w:val="24"/>
          <w:szCs w:val="24"/>
        </w:rPr>
        <w:t xml:space="preserve"> information for the resolution.</w:t>
      </w:r>
    </w:p>
    <w:p w14:paraId="7F4BE9A0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It identifies the exact problem to be addressed and the rationale.</w:t>
      </w:r>
    </w:p>
    <w:p w14:paraId="1E4EA34D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“whereas” is a reason for the resolution and each reason requires a separate clause.</w:t>
      </w:r>
    </w:p>
    <w:p w14:paraId="49DB921F" w14:textId="1724B6B1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If the rationale cannot be explained in five clauses or less due to the complexity of the issue, then background or supporting documentation may be attached.</w:t>
      </w:r>
    </w:p>
    <w:p w14:paraId="07817E3D" w14:textId="77777777" w:rsidR="00F341B6" w:rsidRP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section should prepare the reader for the action presented in the “the</w:t>
      </w:r>
      <w:r>
        <w:rPr>
          <w:rFonts w:ascii="Arial Narrow" w:hAnsi="Arial Narrow"/>
          <w:sz w:val="24"/>
          <w:szCs w:val="24"/>
        </w:rPr>
        <w:t xml:space="preserve">refore be it resolved” section </w:t>
      </w:r>
      <w:r w:rsidRPr="00F341B6">
        <w:rPr>
          <w:rFonts w:ascii="Arial Narrow" w:hAnsi="Arial Narrow"/>
          <w:sz w:val="24"/>
          <w:szCs w:val="24"/>
        </w:rPr>
        <w:t>below.</w:t>
      </w:r>
    </w:p>
    <w:p w14:paraId="0DD4AEDF" w14:textId="77777777" w:rsidR="00F341B6" w:rsidRPr="00F341B6" w:rsidRDefault="00F341B6" w:rsidP="00F341B6">
      <w:pPr>
        <w:pStyle w:val="NoSpacing"/>
        <w:rPr>
          <w:rFonts w:ascii="Arial Narrow" w:hAnsi="Arial Narrow"/>
          <w:sz w:val="24"/>
          <w:szCs w:val="24"/>
        </w:rPr>
      </w:pPr>
    </w:p>
    <w:p w14:paraId="33456A25" w14:textId="7A274C6C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proofErr w:type="gramStart"/>
      <w:r w:rsidRPr="00F341B6">
        <w:rPr>
          <w:rFonts w:ascii="Arial Narrow" w:hAnsi="Arial Narrow"/>
          <w:b/>
          <w:sz w:val="24"/>
          <w:szCs w:val="24"/>
        </w:rPr>
        <w:t>THEREFORE</w:t>
      </w:r>
      <w:proofErr w:type="gramEnd"/>
      <w:r w:rsidRPr="00F341B6">
        <w:rPr>
          <w:rFonts w:ascii="Arial Narrow" w:hAnsi="Arial Narrow"/>
          <w:b/>
          <w:sz w:val="24"/>
          <w:szCs w:val="24"/>
        </w:rPr>
        <w:t xml:space="preserve"> BE IT RESOLVED that the </w:t>
      </w:r>
      <w:r w:rsidR="00EA184A">
        <w:rPr>
          <w:rFonts w:ascii="Arial Narrow" w:hAnsi="Arial Narrow"/>
          <w:b/>
          <w:sz w:val="24"/>
          <w:szCs w:val="24"/>
        </w:rPr>
        <w:t>First Nations</w:t>
      </w:r>
      <w:r w:rsidRPr="00F341B6">
        <w:rPr>
          <w:rFonts w:ascii="Arial Narrow" w:hAnsi="Arial Narrow"/>
          <w:b/>
          <w:sz w:val="24"/>
          <w:szCs w:val="24"/>
        </w:rPr>
        <w:t>-in-Assembly:</w:t>
      </w:r>
    </w:p>
    <w:p w14:paraId="0905CBB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is the very reason why the resolution is being drafted in the first place.</w:t>
      </w:r>
    </w:p>
    <w:p w14:paraId="3E64B66C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 course of action that is being put forward should be identified here.</w:t>
      </w:r>
    </w:p>
    <w:p w14:paraId="38B714A4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action requires a separate clause.</w:t>
      </w:r>
    </w:p>
    <w:p w14:paraId="629FB563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Be as clear as possible when stating what the resolution is meant to achieve.</w:t>
      </w:r>
    </w:p>
    <w:p w14:paraId="23FE80B1" w14:textId="77777777" w:rsidR="00F341B6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Try to begin each clause with an action verb (direct, call-upon, request, etc.).</w:t>
      </w:r>
    </w:p>
    <w:p w14:paraId="759BC51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There should be no doubt as to what action is being requested, who should do it, how it should be done and when it should be done.</w:t>
      </w:r>
    </w:p>
    <w:p w14:paraId="73E4E56F" w14:textId="25CE47B3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Clauses addressing federal issues should direct the AFN to request the federal government to work to</w:t>
      </w:r>
      <w:r>
        <w:rPr>
          <w:rFonts w:ascii="Arial Narrow" w:hAnsi="Arial Narrow"/>
          <w:sz w:val="24"/>
          <w:szCs w:val="24"/>
        </w:rPr>
        <w:t xml:space="preserve"> achieve the desired objective, </w:t>
      </w:r>
      <w:r w:rsidRPr="00F341B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 xml:space="preserve">, “that the </w:t>
      </w:r>
      <w:r w:rsidR="00EA184A">
        <w:rPr>
          <w:rFonts w:ascii="Arial Narrow" w:hAnsi="Arial Narrow"/>
          <w:sz w:val="24"/>
          <w:szCs w:val="24"/>
        </w:rPr>
        <w:t>First Nations</w:t>
      </w:r>
      <w:r w:rsidRPr="00F341B6">
        <w:rPr>
          <w:rFonts w:ascii="Arial Narrow" w:hAnsi="Arial Narrow"/>
          <w:sz w:val="24"/>
          <w:szCs w:val="24"/>
        </w:rPr>
        <w:t>-in-Assembly direct the AFN to ur</w:t>
      </w:r>
      <w:r>
        <w:rPr>
          <w:rFonts w:ascii="Arial Narrow" w:hAnsi="Arial Narrow"/>
          <w:sz w:val="24"/>
          <w:szCs w:val="24"/>
        </w:rPr>
        <w:t>ge the federal government to…”</w:t>
      </w:r>
    </w:p>
    <w:p w14:paraId="2F42CAB0" w14:textId="10CBD04E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EA184A">
        <w:rPr>
          <w:rFonts w:ascii="Arial Narrow" w:hAnsi="Arial Narrow"/>
          <w:sz w:val="24"/>
          <w:szCs w:val="24"/>
        </w:rPr>
        <w:t>First Nations</w:t>
      </w:r>
      <w:r>
        <w:rPr>
          <w:rFonts w:ascii="Arial Narrow" w:hAnsi="Arial Narrow"/>
          <w:sz w:val="24"/>
          <w:szCs w:val="24"/>
        </w:rPr>
        <w:t>-in-Assembly can</w:t>
      </w:r>
      <w:r w:rsidRPr="00F341B6">
        <w:rPr>
          <w:rFonts w:ascii="Arial Narrow" w:hAnsi="Arial Narrow"/>
          <w:sz w:val="24"/>
          <w:szCs w:val="24"/>
        </w:rPr>
        <w:t>not direct another organization or government to do something, however, a course of action can be recommended to another organization.</w:t>
      </w:r>
    </w:p>
    <w:p w14:paraId="3066830D" w14:textId="77777777" w:rsidR="00F341B6" w:rsidRP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F341B6" w:rsidSect="00F341B6">
      <w:headerReference w:type="default" r:id="rId8"/>
      <w:footerReference w:type="default" r:id="rId9"/>
      <w:pgSz w:w="12240" w:h="15840"/>
      <w:pgMar w:top="1440" w:right="1440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111D" w14:textId="77777777" w:rsidR="00F470A8" w:rsidRDefault="00F470A8" w:rsidP="00F470A8">
      <w:r>
        <w:separator/>
      </w:r>
    </w:p>
  </w:endnote>
  <w:endnote w:type="continuationSeparator" w:id="0">
    <w:p w14:paraId="7CB8751A" w14:textId="77777777" w:rsidR="00F470A8" w:rsidRDefault="00F470A8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51C8" w14:textId="77777777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>AFN Draft Resolution Template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5DA4" w14:textId="77777777" w:rsidR="00F470A8" w:rsidRDefault="00F470A8" w:rsidP="00F470A8">
      <w:r>
        <w:separator/>
      </w:r>
    </w:p>
  </w:footnote>
  <w:footnote w:type="continuationSeparator" w:id="0">
    <w:p w14:paraId="6A875B92" w14:textId="77777777" w:rsidR="00F470A8" w:rsidRDefault="00F470A8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C34F" w14:textId="2C71E387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B202A3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EA0D7E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</w:p>
  <w:p w14:paraId="2E365F4E" w14:textId="77777777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</w:rPr>
    </w:pPr>
  </w:p>
  <w:p w14:paraId="76F2F040" w14:textId="0FD44484" w:rsidR="00F470A8" w:rsidRPr="003318B6" w:rsidRDefault="00F470A8" w:rsidP="00F470A8">
    <w:pPr>
      <w:pStyle w:val="Header"/>
      <w:jc w:val="center"/>
      <w:rPr>
        <w:rFonts w:ascii="Arial" w:hAnsi="Arial" w:cs="Arial"/>
        <w:sz w:val="28"/>
        <w:szCs w:val="24"/>
      </w:rPr>
    </w:pPr>
    <w:r w:rsidRPr="003318B6">
      <w:rPr>
        <w:rFonts w:ascii="Arial" w:hAnsi="Arial" w:cs="Arial"/>
        <w:b/>
        <w:sz w:val="28"/>
        <w:szCs w:val="24"/>
      </w:rPr>
      <w:t xml:space="preserve">AFN </w:t>
    </w:r>
    <w:r w:rsidR="009D4816" w:rsidRPr="003318B6">
      <w:rPr>
        <w:rFonts w:ascii="Arial" w:hAnsi="Arial" w:cs="Arial"/>
        <w:b/>
        <w:sz w:val="28"/>
        <w:szCs w:val="24"/>
      </w:rPr>
      <w:t>Annual General Assembly</w:t>
    </w:r>
    <w:r w:rsidR="00C950D7" w:rsidRPr="003318B6">
      <w:rPr>
        <w:rFonts w:ascii="Arial" w:hAnsi="Arial" w:cs="Arial"/>
        <w:b/>
        <w:sz w:val="28"/>
        <w:szCs w:val="24"/>
      </w:rPr>
      <w:t xml:space="preserve">, </w:t>
    </w:r>
    <w:r w:rsidR="00F0180B">
      <w:rPr>
        <w:rFonts w:ascii="Arial" w:hAnsi="Arial" w:cs="Arial"/>
        <w:b/>
        <w:sz w:val="28"/>
        <w:szCs w:val="24"/>
      </w:rPr>
      <w:t xml:space="preserve">July </w:t>
    </w:r>
    <w:r w:rsidR="00EA0D7E">
      <w:rPr>
        <w:rFonts w:ascii="Arial" w:hAnsi="Arial" w:cs="Arial"/>
        <w:b/>
        <w:sz w:val="28"/>
        <w:szCs w:val="24"/>
      </w:rPr>
      <w:t>11</w:t>
    </w:r>
    <w:r w:rsidR="00B202A3">
      <w:rPr>
        <w:rFonts w:ascii="Arial" w:hAnsi="Arial" w:cs="Arial"/>
        <w:b/>
        <w:sz w:val="28"/>
        <w:szCs w:val="24"/>
      </w:rPr>
      <w:t>-</w:t>
    </w:r>
    <w:r w:rsidR="00EA0D7E">
      <w:rPr>
        <w:rFonts w:ascii="Arial" w:hAnsi="Arial" w:cs="Arial"/>
        <w:b/>
        <w:sz w:val="28"/>
        <w:szCs w:val="24"/>
      </w:rPr>
      <w:t>13</w:t>
    </w:r>
    <w:r w:rsidR="00F0180B">
      <w:rPr>
        <w:rFonts w:ascii="Arial" w:hAnsi="Arial" w:cs="Arial"/>
        <w:b/>
        <w:sz w:val="28"/>
        <w:szCs w:val="24"/>
      </w:rPr>
      <w:t>, 202</w:t>
    </w:r>
    <w:r w:rsidR="00EA0D7E">
      <w:rPr>
        <w:rFonts w:ascii="Arial" w:hAnsi="Arial" w:cs="Arial"/>
        <w:b/>
        <w:sz w:val="28"/>
        <w:szCs w:val="24"/>
      </w:rPr>
      <w:t>3</w:t>
    </w:r>
    <w:r w:rsidR="00A81AC2">
      <w:rPr>
        <w:rFonts w:ascii="Arial" w:hAnsi="Arial" w:cs="Arial"/>
        <w:b/>
        <w:sz w:val="28"/>
        <w:szCs w:val="24"/>
      </w:rPr>
      <w:t>, Halifax, N</w:t>
    </w:r>
    <w:r w:rsidR="00484EC4">
      <w:rPr>
        <w:rFonts w:ascii="Arial" w:hAnsi="Arial" w:cs="Arial"/>
        <w:b/>
        <w:sz w:val="28"/>
        <w:szCs w:val="24"/>
      </w:rPr>
      <w:t>ova Scotia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74FF"/>
    <w:multiLevelType w:val="hybridMultilevel"/>
    <w:tmpl w:val="6F36C22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643018">
    <w:abstractNumId w:val="1"/>
  </w:num>
  <w:num w:numId="2" w16cid:durableId="442115870">
    <w:abstractNumId w:val="0"/>
  </w:num>
  <w:num w:numId="3" w16cid:durableId="105651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F2088"/>
    <w:rsid w:val="003318B6"/>
    <w:rsid w:val="00395AE9"/>
    <w:rsid w:val="004077C7"/>
    <w:rsid w:val="00432C31"/>
    <w:rsid w:val="00484EC4"/>
    <w:rsid w:val="004A11C2"/>
    <w:rsid w:val="00510CD2"/>
    <w:rsid w:val="00566A26"/>
    <w:rsid w:val="00615570"/>
    <w:rsid w:val="007E5FA8"/>
    <w:rsid w:val="009D4816"/>
    <w:rsid w:val="00A65509"/>
    <w:rsid w:val="00A81AC2"/>
    <w:rsid w:val="00B202A3"/>
    <w:rsid w:val="00B227B8"/>
    <w:rsid w:val="00C950D7"/>
    <w:rsid w:val="00CD0BA9"/>
    <w:rsid w:val="00EA0D7E"/>
    <w:rsid w:val="00EA184A"/>
    <w:rsid w:val="00F0180B"/>
    <w:rsid w:val="00F021EC"/>
    <w:rsid w:val="00F341B6"/>
    <w:rsid w:val="00F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Regina Toulouse</cp:lastModifiedBy>
  <cp:revision>6</cp:revision>
  <cp:lastPrinted>2016-04-11T20:16:00Z</cp:lastPrinted>
  <dcterms:created xsi:type="dcterms:W3CDTF">2022-03-22T13:16:00Z</dcterms:created>
  <dcterms:modified xsi:type="dcterms:W3CDTF">2023-05-04T10:42:00Z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d9710f58af1cc008263f597a34e39160743f788003560f27db4138771bfff860</vt:lpwstr>
  </property>
</Properties>
</file>