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F437" w14:textId="6EB2F264" w:rsidR="00AB3B64" w:rsidRPr="003F6A8B" w:rsidRDefault="00AB3B64" w:rsidP="00AB3B64">
      <w:pPr>
        <w:pStyle w:val="Heading1"/>
        <w:spacing w:line="240" w:lineRule="auto"/>
        <w:rPr>
          <w:b/>
          <w:color w:val="C00000"/>
        </w:rPr>
      </w:pPr>
      <w:r>
        <w:rPr>
          <w:b/>
          <w:color w:val="C00000"/>
        </w:rPr>
        <w:t xml:space="preserve">2026 Update: Closing the Infrastructure </w:t>
      </w:r>
      <w:r w:rsidR="00DF3CF7">
        <w:rPr>
          <w:b/>
          <w:color w:val="C00000"/>
        </w:rPr>
        <w:t>Gap</w:t>
      </w:r>
    </w:p>
    <w:p w14:paraId="319B5090" w14:textId="3F301306" w:rsidR="00AB3B64" w:rsidRPr="00A055D0" w:rsidRDefault="00A055D0" w:rsidP="00A055D0">
      <w:pPr>
        <w:pStyle w:val="Heading2"/>
        <w:rPr>
          <w:b/>
          <w:bCs/>
          <w:color w:val="C00000"/>
        </w:rPr>
      </w:pPr>
      <w:r w:rsidRPr="00A055D0">
        <w:rPr>
          <w:b/>
          <w:bCs/>
          <w:color w:val="C00000"/>
        </w:rPr>
        <w:t>Background</w:t>
      </w:r>
    </w:p>
    <w:p w14:paraId="437463EB" w14:textId="2B86FBF7" w:rsidR="00A055D0" w:rsidRDefault="006B4864" w:rsidP="006B4864">
      <w:pPr>
        <w:rPr>
          <w:sz w:val="22"/>
          <w:szCs w:val="22"/>
        </w:rPr>
      </w:pPr>
      <w:r w:rsidRPr="0A31FFDD">
        <w:rPr>
          <w:b/>
          <w:bCs/>
          <w:sz w:val="22"/>
          <w:szCs w:val="22"/>
        </w:rPr>
        <w:t xml:space="preserve">In 2023, AFN published </w:t>
      </w:r>
      <w:r w:rsidRPr="0A31FFDD">
        <w:rPr>
          <w:b/>
          <w:bCs/>
          <w:i/>
          <w:iCs/>
          <w:sz w:val="22"/>
          <w:szCs w:val="22"/>
        </w:rPr>
        <w:t>Closing the Infrastructure Gap by 2030</w:t>
      </w:r>
      <w:r w:rsidR="00D65E31" w:rsidRPr="0A31FFDD">
        <w:rPr>
          <w:b/>
          <w:bCs/>
          <w:sz w:val="22"/>
          <w:szCs w:val="22"/>
        </w:rPr>
        <w:t xml:space="preserve">, </w:t>
      </w:r>
      <w:r w:rsidRPr="0A31FFDD">
        <w:rPr>
          <w:b/>
          <w:bCs/>
          <w:sz w:val="22"/>
          <w:szCs w:val="22"/>
        </w:rPr>
        <w:t>a comprehensive cost report that quantified the capital and operating investments required to close the First Nations infrastructure gap in Canada</w:t>
      </w:r>
      <w:r w:rsidRPr="0A31FFDD">
        <w:rPr>
          <w:sz w:val="22"/>
          <w:szCs w:val="22"/>
        </w:rPr>
        <w:t>. The report estimated the investment need at $349.2 billion</w:t>
      </w:r>
      <w:r w:rsidR="007020CD" w:rsidRPr="0A31FFDD">
        <w:rPr>
          <w:sz w:val="22"/>
          <w:szCs w:val="22"/>
        </w:rPr>
        <w:t xml:space="preserve"> in nominal dollars from 2023 to 2030</w:t>
      </w:r>
      <w:r w:rsidRPr="0A31FFDD">
        <w:rPr>
          <w:sz w:val="22"/>
          <w:szCs w:val="22"/>
        </w:rPr>
        <w:t>, reflecting decades of underfunding, unmet fiduciary responsibilities, and inequities in the distribution of Canada’s infrastructure investments.</w:t>
      </w:r>
    </w:p>
    <w:p w14:paraId="65592B87" w14:textId="6E3B8991" w:rsidR="000F796D" w:rsidRPr="006B4864" w:rsidRDefault="03B3E6A0" w:rsidP="0A31FFDD">
      <w:pPr>
        <w:spacing w:line="276" w:lineRule="auto"/>
        <w:rPr>
          <w:sz w:val="22"/>
          <w:szCs w:val="22"/>
        </w:rPr>
      </w:pPr>
      <w:r w:rsidRPr="0A31FFDD">
        <w:rPr>
          <w:sz w:val="22"/>
          <w:szCs w:val="22"/>
        </w:rPr>
        <w:t xml:space="preserve">With the </w:t>
      </w:r>
      <w:r w:rsidR="002651FD" w:rsidRPr="0A31FFDD">
        <w:rPr>
          <w:sz w:val="22"/>
          <w:szCs w:val="22"/>
        </w:rPr>
        <w:t xml:space="preserve">2030 </w:t>
      </w:r>
      <w:r w:rsidR="60C8A9BC" w:rsidRPr="0A31FFDD">
        <w:rPr>
          <w:sz w:val="22"/>
          <w:szCs w:val="22"/>
        </w:rPr>
        <w:t>deadline rapidly approaching</w:t>
      </w:r>
      <w:r w:rsidR="002651FD" w:rsidRPr="0A31FFDD">
        <w:rPr>
          <w:sz w:val="22"/>
          <w:szCs w:val="22"/>
        </w:rPr>
        <w:t xml:space="preserve">, </w:t>
      </w:r>
      <w:r w:rsidR="50791F94" w:rsidRPr="0A31FFDD">
        <w:rPr>
          <w:sz w:val="22"/>
          <w:szCs w:val="22"/>
        </w:rPr>
        <w:t xml:space="preserve">the AFN has </w:t>
      </w:r>
      <w:r w:rsidR="000F796D" w:rsidRPr="0A31FFDD">
        <w:rPr>
          <w:sz w:val="22"/>
          <w:szCs w:val="22"/>
        </w:rPr>
        <w:t>update</w:t>
      </w:r>
      <w:r w:rsidR="7CB518E6" w:rsidRPr="0A31FFDD">
        <w:rPr>
          <w:sz w:val="22"/>
          <w:szCs w:val="22"/>
        </w:rPr>
        <w:t>d</w:t>
      </w:r>
      <w:r w:rsidR="000F796D" w:rsidRPr="0A31FFDD">
        <w:rPr>
          <w:sz w:val="22"/>
          <w:szCs w:val="22"/>
        </w:rPr>
        <w:t xml:space="preserve"> the cost estimate to a 10-year forecast based on more recent escalation factors</w:t>
      </w:r>
      <w:r w:rsidR="002651FD" w:rsidRPr="0A31FFDD">
        <w:rPr>
          <w:sz w:val="22"/>
          <w:szCs w:val="22"/>
        </w:rPr>
        <w:t xml:space="preserve"> </w:t>
      </w:r>
      <w:r w:rsidR="2387993B" w:rsidRPr="0A31FFDD">
        <w:rPr>
          <w:sz w:val="22"/>
          <w:szCs w:val="22"/>
        </w:rPr>
        <w:t>to</w:t>
      </w:r>
      <w:r w:rsidR="000F796D" w:rsidRPr="0A31FFDD">
        <w:rPr>
          <w:sz w:val="22"/>
          <w:szCs w:val="22"/>
        </w:rPr>
        <w:t xml:space="preserve"> inform federal budget decision-making.</w:t>
      </w:r>
    </w:p>
    <w:p w14:paraId="78738DA4" w14:textId="02731A02" w:rsidR="00A055D0" w:rsidRPr="0027069B" w:rsidRDefault="001270DC" w:rsidP="0027069B">
      <w:pPr>
        <w:pStyle w:val="Heading2"/>
        <w:rPr>
          <w:b/>
          <w:bCs/>
          <w:color w:val="C00000"/>
        </w:rPr>
      </w:pPr>
      <w:r w:rsidRPr="0027069B">
        <w:rPr>
          <w:b/>
          <w:bCs/>
          <w:color w:val="C00000"/>
        </w:rPr>
        <w:t xml:space="preserve">Methodology </w:t>
      </w:r>
    </w:p>
    <w:p w14:paraId="07AE8A0E" w14:textId="1A109BE7" w:rsidR="001270DC" w:rsidRPr="001270DC" w:rsidRDefault="001270DC" w:rsidP="0A31FFDD">
      <w:pPr>
        <w:spacing w:line="276" w:lineRule="auto"/>
        <w:rPr>
          <w:sz w:val="22"/>
          <w:szCs w:val="22"/>
        </w:rPr>
      </w:pPr>
      <w:r w:rsidRPr="0A31FFDD">
        <w:rPr>
          <w:sz w:val="22"/>
          <w:szCs w:val="22"/>
        </w:rPr>
        <w:t xml:space="preserve">This update </w:t>
      </w:r>
      <w:r w:rsidR="0FD5356D" w:rsidRPr="0A31FFDD">
        <w:rPr>
          <w:sz w:val="22"/>
          <w:szCs w:val="22"/>
        </w:rPr>
        <w:t>used</w:t>
      </w:r>
      <w:r w:rsidRPr="0A31FFDD">
        <w:rPr>
          <w:sz w:val="22"/>
          <w:szCs w:val="22"/>
        </w:rPr>
        <w:t xml:space="preserve"> the needs estimates from the </w:t>
      </w:r>
      <w:r w:rsidR="003152CE" w:rsidRPr="0A31FFDD">
        <w:rPr>
          <w:sz w:val="22"/>
          <w:szCs w:val="22"/>
        </w:rPr>
        <w:t xml:space="preserve">original </w:t>
      </w:r>
      <w:r w:rsidRPr="0A31FFDD">
        <w:rPr>
          <w:sz w:val="22"/>
          <w:szCs w:val="22"/>
        </w:rPr>
        <w:t xml:space="preserve">CTIG </w:t>
      </w:r>
      <w:r w:rsidR="003152CE" w:rsidRPr="0A31FFDD">
        <w:rPr>
          <w:sz w:val="22"/>
          <w:szCs w:val="22"/>
        </w:rPr>
        <w:t xml:space="preserve">studies, </w:t>
      </w:r>
      <w:r w:rsidR="0063517C" w:rsidRPr="0A31FFDD">
        <w:rPr>
          <w:sz w:val="22"/>
          <w:szCs w:val="22"/>
        </w:rPr>
        <w:t xml:space="preserve">incorporated estimated funding from the </w:t>
      </w:r>
      <w:r w:rsidR="6BB2190A" w:rsidRPr="0A31FFDD">
        <w:rPr>
          <w:sz w:val="22"/>
          <w:szCs w:val="22"/>
        </w:rPr>
        <w:t xml:space="preserve">Government of Canada </w:t>
      </w:r>
      <w:r w:rsidR="0063517C" w:rsidRPr="0A31FFDD">
        <w:rPr>
          <w:sz w:val="22"/>
          <w:szCs w:val="22"/>
        </w:rPr>
        <w:t xml:space="preserve">towards the gap, and </w:t>
      </w:r>
      <w:r w:rsidR="69F036E9" w:rsidRPr="0A31FFDD">
        <w:rPr>
          <w:sz w:val="22"/>
          <w:szCs w:val="22"/>
        </w:rPr>
        <w:t>applied escalation factors</w:t>
      </w:r>
      <w:r w:rsidR="008C05DD" w:rsidRPr="0A31FFDD">
        <w:rPr>
          <w:sz w:val="22"/>
          <w:szCs w:val="22"/>
        </w:rPr>
        <w:t xml:space="preserve"> to reflect the increased costs of construction over time </w:t>
      </w:r>
      <w:r w:rsidR="00C45815" w:rsidRPr="0A31FFDD">
        <w:rPr>
          <w:sz w:val="22"/>
          <w:szCs w:val="22"/>
        </w:rPr>
        <w:t xml:space="preserve">(including inflation). </w:t>
      </w:r>
      <w:r w:rsidR="1E955F5C" w:rsidRPr="0A31FFDD">
        <w:rPr>
          <w:sz w:val="22"/>
          <w:szCs w:val="22"/>
        </w:rPr>
        <w:t xml:space="preserve"> The new estimate would see the infrastructure gap close by 2036.</w:t>
      </w:r>
    </w:p>
    <w:p w14:paraId="266548D7" w14:textId="69112CC4" w:rsidR="001270DC" w:rsidRPr="001270DC" w:rsidRDefault="00C45815" w:rsidP="0A31FFDD">
      <w:r w:rsidRPr="0A31FFDD">
        <w:rPr>
          <w:sz w:val="22"/>
          <w:szCs w:val="22"/>
        </w:rPr>
        <w:t xml:space="preserve">The escalation of prices relied on the Building </w:t>
      </w:r>
      <w:r w:rsidR="00DF55B2" w:rsidRPr="0A31FFDD">
        <w:rPr>
          <w:sz w:val="22"/>
          <w:szCs w:val="22"/>
        </w:rPr>
        <w:t>Construction Price Index</w:t>
      </w:r>
      <w:r w:rsidR="000F1E1D" w:rsidRPr="0A31FFDD">
        <w:rPr>
          <w:sz w:val="22"/>
          <w:szCs w:val="22"/>
        </w:rPr>
        <w:t xml:space="preserve"> (BCPI)</w:t>
      </w:r>
      <w:r w:rsidR="00DF55B2" w:rsidRPr="0A31FFDD">
        <w:rPr>
          <w:sz w:val="22"/>
          <w:szCs w:val="22"/>
        </w:rPr>
        <w:t xml:space="preserve"> for residential and non-residential construction and its relationship to inflation overall. </w:t>
      </w:r>
      <w:r w:rsidR="000F1E1D" w:rsidRPr="0A31FFDD">
        <w:rPr>
          <w:sz w:val="22"/>
          <w:szCs w:val="22"/>
        </w:rPr>
        <w:t xml:space="preserve">For the forward projection, the escalation assumes that BCPI annual increases will slowly decline and return to align with inflation </w:t>
      </w:r>
      <w:r w:rsidR="0027069B" w:rsidRPr="0A31FFDD">
        <w:rPr>
          <w:sz w:val="22"/>
          <w:szCs w:val="22"/>
        </w:rPr>
        <w:t>by 2030 and then remain constant.</w:t>
      </w:r>
    </w:p>
    <w:p w14:paraId="2516B605" w14:textId="6F7B4763" w:rsidR="0A31FFDD" w:rsidRDefault="0A31FFDD" w:rsidP="0A31FFDD">
      <w:pPr>
        <w:spacing w:line="276" w:lineRule="auto"/>
        <w:rPr>
          <w:sz w:val="22"/>
          <w:szCs w:val="22"/>
        </w:rPr>
      </w:pPr>
    </w:p>
    <w:p w14:paraId="25F140CB" w14:textId="5E5F960B" w:rsidR="0A31FFDD" w:rsidRDefault="0A31FFDD">
      <w:r>
        <w:br w:type="page"/>
      </w:r>
    </w:p>
    <w:p w14:paraId="5E1D65E2" w14:textId="7331EC8D" w:rsidR="70E843F9" w:rsidRDefault="70E843F9" w:rsidP="0A31FFDD">
      <w:pPr>
        <w:spacing w:line="276" w:lineRule="auto"/>
        <w:rPr>
          <w:sz w:val="22"/>
          <w:szCs w:val="22"/>
        </w:rPr>
      </w:pPr>
      <w:r w:rsidRPr="0A31FFDD">
        <w:rPr>
          <w:sz w:val="22"/>
          <w:szCs w:val="22"/>
        </w:rPr>
        <w:lastRenderedPageBreak/>
        <w:t xml:space="preserve">The updated assessment also re-categorised costs into a reduced number of categories to align </w:t>
      </w:r>
      <w:r w:rsidR="2D41721C" w:rsidRPr="0A31FFDD">
        <w:rPr>
          <w:sz w:val="22"/>
          <w:szCs w:val="22"/>
        </w:rPr>
        <w:t>with</w:t>
      </w:r>
      <w:r w:rsidR="58B771E5" w:rsidRPr="0A31FFDD">
        <w:rPr>
          <w:sz w:val="22"/>
          <w:szCs w:val="22"/>
        </w:rPr>
        <w:t xml:space="preserve"> how infrastructure categories are managed and funded</w:t>
      </w:r>
      <w:r w:rsidR="51B9FBDA" w:rsidRPr="0A31FFDD">
        <w:rPr>
          <w:sz w:val="22"/>
          <w:szCs w:val="22"/>
        </w:rPr>
        <w:t xml:space="preserve"> by the Government of Canada</w:t>
      </w:r>
      <w:r w:rsidRPr="0A31FFDD">
        <w:rPr>
          <w:sz w:val="22"/>
          <w:szCs w:val="22"/>
        </w:rPr>
        <w:t>.</w:t>
      </w:r>
      <w:r w:rsidR="0ECDC823" w:rsidRPr="0A31FFDD">
        <w:rPr>
          <w:sz w:val="22"/>
          <w:szCs w:val="22"/>
        </w:rPr>
        <w:t xml:space="preserve"> </w:t>
      </w:r>
      <w:r w:rsidR="05AF8810" w:rsidRPr="0A31FFDD">
        <w:rPr>
          <w:sz w:val="22"/>
          <w:szCs w:val="22"/>
        </w:rPr>
        <w:t xml:space="preserve">These six service lines include water and wastewater, housing, education, health, other community infrastructure and off-reserve infrastructure. One of the most significant changes is the transition of </w:t>
      </w:r>
      <w:r w:rsidR="1C43ACF6" w:rsidRPr="0A31FFDD">
        <w:rPr>
          <w:sz w:val="22"/>
          <w:szCs w:val="22"/>
        </w:rPr>
        <w:t xml:space="preserve">all water- and </w:t>
      </w:r>
      <w:r w:rsidR="05AF8810" w:rsidRPr="0A31FFDD">
        <w:rPr>
          <w:sz w:val="22"/>
          <w:szCs w:val="22"/>
        </w:rPr>
        <w:t>wastewater</w:t>
      </w:r>
      <w:r w:rsidR="42E7C503" w:rsidRPr="0A31FFDD">
        <w:rPr>
          <w:sz w:val="22"/>
          <w:szCs w:val="22"/>
        </w:rPr>
        <w:t>-related</w:t>
      </w:r>
      <w:r w:rsidR="05AF8810" w:rsidRPr="0A31FFDD">
        <w:rPr>
          <w:sz w:val="22"/>
          <w:szCs w:val="22"/>
        </w:rPr>
        <w:t xml:space="preserve"> infrastructure to </w:t>
      </w:r>
      <w:r w:rsidR="43B028D4" w:rsidRPr="0A31FFDD">
        <w:rPr>
          <w:sz w:val="22"/>
          <w:szCs w:val="22"/>
        </w:rPr>
        <w:t xml:space="preserve">the </w:t>
      </w:r>
      <w:r w:rsidR="05AF8810" w:rsidRPr="0A31FFDD">
        <w:rPr>
          <w:sz w:val="22"/>
          <w:szCs w:val="22"/>
        </w:rPr>
        <w:t xml:space="preserve">water </w:t>
      </w:r>
      <w:r w:rsidR="22A057D8" w:rsidRPr="0A31FFDD">
        <w:rPr>
          <w:sz w:val="22"/>
          <w:szCs w:val="22"/>
        </w:rPr>
        <w:t>service line.</w:t>
      </w:r>
      <w:r w:rsidR="6D28165D" w:rsidRPr="0A31FFDD">
        <w:rPr>
          <w:sz w:val="22"/>
          <w:szCs w:val="22"/>
        </w:rPr>
        <w:t xml:space="preserve"> </w:t>
      </w:r>
      <w:r w:rsidR="160AF860" w:rsidRPr="0A31FFDD">
        <w:rPr>
          <w:sz w:val="22"/>
          <w:szCs w:val="22"/>
        </w:rPr>
        <w:t>While</w:t>
      </w:r>
      <w:r w:rsidR="00CA0564">
        <w:rPr>
          <w:sz w:val="22"/>
          <w:szCs w:val="22"/>
        </w:rPr>
        <w:t xml:space="preserve"> the original</w:t>
      </w:r>
      <w:r w:rsidR="160AF860" w:rsidRPr="0A31FFDD">
        <w:rPr>
          <w:sz w:val="22"/>
          <w:szCs w:val="22"/>
        </w:rPr>
        <w:t xml:space="preserve"> CTIG water category included only the estimate</w:t>
      </w:r>
      <w:r w:rsidR="29D22E07" w:rsidRPr="0A31FFDD">
        <w:rPr>
          <w:sz w:val="22"/>
          <w:szCs w:val="22"/>
        </w:rPr>
        <w:t>d</w:t>
      </w:r>
      <w:r w:rsidR="160AF860" w:rsidRPr="0A31FFDD">
        <w:rPr>
          <w:sz w:val="22"/>
          <w:szCs w:val="22"/>
        </w:rPr>
        <w:t xml:space="preserve"> cost to end 33 drinking water advisories</w:t>
      </w:r>
      <w:r w:rsidR="00CA0564">
        <w:rPr>
          <w:sz w:val="22"/>
          <w:szCs w:val="22"/>
        </w:rPr>
        <w:t>,</w:t>
      </w:r>
      <w:r w:rsidR="160AF860" w:rsidRPr="0A31FFDD">
        <w:rPr>
          <w:sz w:val="22"/>
          <w:szCs w:val="22"/>
        </w:rPr>
        <w:t xml:space="preserve"> i</w:t>
      </w:r>
      <w:r w:rsidR="44080627" w:rsidRPr="0A31FFDD">
        <w:rPr>
          <w:sz w:val="22"/>
          <w:szCs w:val="22"/>
        </w:rPr>
        <w:t xml:space="preserve">t now </w:t>
      </w:r>
      <w:r w:rsidR="160AF860" w:rsidRPr="0A31FFDD">
        <w:rPr>
          <w:sz w:val="22"/>
          <w:szCs w:val="22"/>
        </w:rPr>
        <w:t>also includes the infrastructure needed for all water and wastewater infrastructure</w:t>
      </w:r>
      <w:r w:rsidR="2CD7F318" w:rsidRPr="0A31FFDD">
        <w:rPr>
          <w:sz w:val="22"/>
          <w:szCs w:val="22"/>
        </w:rPr>
        <w:t>.</w:t>
      </w:r>
      <w:r w:rsidR="0D6F3F1E" w:rsidRPr="0A31FFDD">
        <w:rPr>
          <w:sz w:val="22"/>
          <w:szCs w:val="22"/>
        </w:rPr>
        <w:t xml:space="preserve"> The figure below displays how the previous categories align with the new service lines used in this analysis.</w:t>
      </w:r>
    </w:p>
    <w:p w14:paraId="20ECA749" w14:textId="0EBDEAB4" w:rsidR="0D6F3F1E" w:rsidRDefault="0D6F3F1E" w:rsidP="0A31FFDD">
      <w:pPr>
        <w:spacing w:line="276" w:lineRule="auto"/>
        <w:rPr>
          <w:sz w:val="22"/>
          <w:szCs w:val="22"/>
        </w:rPr>
      </w:pPr>
      <w:r w:rsidRPr="0A31FFDD">
        <w:rPr>
          <w:sz w:val="22"/>
          <w:szCs w:val="22"/>
        </w:rPr>
        <w:t xml:space="preserve"> </w:t>
      </w:r>
      <w:r w:rsidR="70E843F9" w:rsidRPr="0A31FFDD">
        <w:rPr>
          <w:sz w:val="22"/>
          <w:szCs w:val="22"/>
        </w:rPr>
        <w:t xml:space="preserve"> </w:t>
      </w:r>
      <w:r w:rsidR="70E843F9">
        <w:rPr>
          <w:noProof/>
        </w:rPr>
        <w:drawing>
          <wp:inline distT="0" distB="0" distL="0" distR="0" wp14:anchorId="45ADFBAF" wp14:editId="7151253E">
            <wp:extent cx="5837314" cy="3527831"/>
            <wp:effectExtent l="0" t="0" r="0" b="0"/>
            <wp:docPr id="1522583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3529" name="Picture 1522583529"/>
                    <pic:cNvPicPr/>
                  </pic:nvPicPr>
                  <pic:blipFill>
                    <a:blip r:embed="rId7">
                      <a:extLst>
                        <a:ext uri="{28A0092B-C50C-407E-A947-70E740481C1C}">
                          <a14:useLocalDpi xmlns:a14="http://schemas.microsoft.com/office/drawing/2010/main"/>
                        </a:ext>
                      </a:extLst>
                    </a:blip>
                    <a:srcRect t="19626"/>
                    <a:stretch>
                      <a:fillRect/>
                    </a:stretch>
                  </pic:blipFill>
                  <pic:spPr>
                    <a:xfrm>
                      <a:off x="0" y="0"/>
                      <a:ext cx="5837314" cy="3527831"/>
                    </a:xfrm>
                    <a:prstGeom prst="rect">
                      <a:avLst/>
                    </a:prstGeom>
                  </pic:spPr>
                </pic:pic>
              </a:graphicData>
            </a:graphic>
          </wp:inline>
        </w:drawing>
      </w:r>
    </w:p>
    <w:p w14:paraId="565CCDC0" w14:textId="31E975E4" w:rsidR="00A055D0" w:rsidRPr="00A055D0" w:rsidRDefault="00A055D0" w:rsidP="0A31FFDD">
      <w:pPr>
        <w:pStyle w:val="Heading2"/>
        <w:rPr>
          <w:b/>
          <w:bCs/>
          <w:color w:val="C00000"/>
        </w:rPr>
      </w:pPr>
    </w:p>
    <w:p w14:paraId="634B6BF0" w14:textId="15A9394C" w:rsidR="00A055D0" w:rsidRPr="00A055D0" w:rsidRDefault="00A055D0" w:rsidP="0A31FFDD">
      <w:r>
        <w:br w:type="page"/>
      </w:r>
    </w:p>
    <w:p w14:paraId="2BFC9813" w14:textId="5619C665" w:rsidR="00A055D0" w:rsidRPr="00A055D0" w:rsidRDefault="00A055D0" w:rsidP="00A055D0">
      <w:pPr>
        <w:pStyle w:val="Heading2"/>
        <w:rPr>
          <w:b/>
          <w:bCs/>
          <w:color w:val="C00000"/>
        </w:rPr>
      </w:pPr>
      <w:r w:rsidRPr="0A31FFDD">
        <w:rPr>
          <w:b/>
          <w:bCs/>
          <w:color w:val="C00000"/>
        </w:rPr>
        <w:lastRenderedPageBreak/>
        <w:t>Findings</w:t>
      </w:r>
    </w:p>
    <w:p w14:paraId="70B2A967" w14:textId="69502AE9" w:rsidR="0029328B" w:rsidRPr="003B6709" w:rsidRDefault="00AB3B64" w:rsidP="0A31FFDD">
      <w:pPr>
        <w:rPr>
          <w:sz w:val="22"/>
          <w:szCs w:val="22"/>
        </w:rPr>
      </w:pPr>
      <w:r w:rsidRPr="0A31FFDD">
        <w:rPr>
          <w:b/>
          <w:bCs/>
          <w:sz w:val="22"/>
          <w:szCs w:val="22"/>
        </w:rPr>
        <w:t xml:space="preserve">Despite commitments from the Government of Canada to close the infrastructure gap, the gap has continued to grow. </w:t>
      </w:r>
      <w:r w:rsidR="36CEE79E" w:rsidRPr="0A31FFDD">
        <w:rPr>
          <w:sz w:val="22"/>
          <w:szCs w:val="22"/>
        </w:rPr>
        <w:t xml:space="preserve">The AFN's updated analysis </w:t>
      </w:r>
      <w:r w:rsidRPr="0A31FFDD">
        <w:rPr>
          <w:sz w:val="22"/>
          <w:szCs w:val="22"/>
        </w:rPr>
        <w:t xml:space="preserve">has found that despite increases in funding since 2022, the gap has grown from $349.2 billion to an estimated $376.1 </w:t>
      </w:r>
      <w:r w:rsidR="00CA0564">
        <w:rPr>
          <w:sz w:val="22"/>
          <w:szCs w:val="22"/>
        </w:rPr>
        <w:t>b</w:t>
      </w:r>
      <w:r w:rsidRPr="0A31FFDD">
        <w:rPr>
          <w:sz w:val="22"/>
          <w:szCs w:val="22"/>
        </w:rPr>
        <w:t>illion (both reported in nominal dollars). This updated</w:t>
      </w:r>
      <w:r w:rsidR="11B2D040" w:rsidRPr="0A31FFDD">
        <w:rPr>
          <w:sz w:val="22"/>
          <w:szCs w:val="22"/>
        </w:rPr>
        <w:t xml:space="preserve"> costing includes an </w:t>
      </w:r>
      <w:r w:rsidRPr="0A31FFDD">
        <w:rPr>
          <w:sz w:val="22"/>
          <w:szCs w:val="22"/>
        </w:rPr>
        <w:t xml:space="preserve">estimated $33.4 billion that went towards the gap between 2020 and 2027. </w:t>
      </w:r>
    </w:p>
    <w:p w14:paraId="31A264F6" w14:textId="6041B731" w:rsidR="00AB3B64" w:rsidRDefault="00AB3B64" w:rsidP="0A31FFDD">
      <w:pPr>
        <w:rPr>
          <w:i/>
          <w:iCs/>
        </w:rPr>
      </w:pPr>
      <w:r w:rsidRPr="00AB3B64">
        <w:rPr>
          <w:rFonts w:ascii="Aptos" w:eastAsia="Aptos" w:hAnsi="Aptos" w:cs="Arial"/>
          <w:i/>
          <w:iCs/>
          <w:noProof/>
        </w:rPr>
        <w:drawing>
          <wp:anchor distT="0" distB="0" distL="114300" distR="114300" simplePos="0" relativeHeight="251659264" behindDoc="0" locked="0" layoutInCell="1" allowOverlap="1" wp14:anchorId="47DFC232" wp14:editId="1D7EA003">
            <wp:simplePos x="0" y="0"/>
            <wp:positionH relativeFrom="margin">
              <wp:align>left</wp:align>
            </wp:positionH>
            <wp:positionV relativeFrom="paragraph">
              <wp:posOffset>326390</wp:posOffset>
            </wp:positionV>
            <wp:extent cx="5744624" cy="4835384"/>
            <wp:effectExtent l="0" t="0" r="8890" b="3810"/>
            <wp:wrapTopAndBottom/>
            <wp:docPr id="148360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02565" name="Picture 1"/>
                    <pic:cNvPicPr>
                      <a:picLocks noChangeAspect="1"/>
                    </pic:cNvPicPr>
                  </pic:nvPicPr>
                  <pic:blipFill>
                    <a:blip r:embed="rId8">
                      <a:extLst>
                        <a:ext uri="{96DAC541-7B7A-43D3-8B79-37D633B846F1}">
                          <asvg:svgBlip xmlns:asvg="http://schemas.microsoft.com/office/drawing/2016/SVG/main" r:embed="rId9"/>
                        </a:ext>
                      </a:extLst>
                    </a:blip>
                    <a:srcRect/>
                    <a:stretch>
                      <a:fillRect/>
                    </a:stretch>
                  </pic:blipFill>
                  <pic:spPr>
                    <a:xfrm>
                      <a:off x="0" y="0"/>
                      <a:ext cx="5744624" cy="4835384"/>
                    </a:xfrm>
                    <a:prstGeom prst="rect">
                      <a:avLst/>
                    </a:prstGeom>
                  </pic:spPr>
                </pic:pic>
              </a:graphicData>
            </a:graphic>
            <wp14:sizeRelH relativeFrom="margin">
              <wp14:pctWidth>0</wp14:pctWidth>
            </wp14:sizeRelH>
            <wp14:sizeRelV relativeFrom="margin">
              <wp14:pctHeight>0</wp14:pctHeight>
            </wp14:sizeRelV>
          </wp:anchor>
        </w:drawing>
      </w:r>
    </w:p>
    <w:p w14:paraId="0CAFADEF" w14:textId="77777777" w:rsidR="00AB3B64" w:rsidRDefault="00AB3B64"/>
    <w:p w14:paraId="6A572BE2" w14:textId="7EE00BC2" w:rsidR="00AB3B64" w:rsidRDefault="005A05B6">
      <w:pPr>
        <w:rPr>
          <w:sz w:val="22"/>
          <w:szCs w:val="22"/>
        </w:rPr>
      </w:pPr>
      <w:r w:rsidRPr="0A31FFDD">
        <w:rPr>
          <w:b/>
          <w:bCs/>
          <w:sz w:val="22"/>
          <w:szCs w:val="22"/>
        </w:rPr>
        <w:t>The real cost of closing the gap still likely exceeds this estimate</w:t>
      </w:r>
      <w:r w:rsidR="003B6709" w:rsidRPr="0A31FFDD">
        <w:rPr>
          <w:sz w:val="22"/>
          <w:szCs w:val="22"/>
        </w:rPr>
        <w:t>.</w:t>
      </w:r>
      <w:r w:rsidRPr="0A31FFDD">
        <w:rPr>
          <w:sz w:val="22"/>
          <w:szCs w:val="22"/>
        </w:rPr>
        <w:t xml:space="preserve"> </w:t>
      </w:r>
      <w:r w:rsidR="003B6709" w:rsidRPr="0A31FFDD">
        <w:rPr>
          <w:sz w:val="22"/>
          <w:szCs w:val="22"/>
        </w:rPr>
        <w:t>This updated analysis</w:t>
      </w:r>
      <w:r w:rsidRPr="0A31FFDD">
        <w:rPr>
          <w:sz w:val="22"/>
          <w:szCs w:val="22"/>
        </w:rPr>
        <w:t xml:space="preserve"> assumed price increases over time will return to regular inflation, an assumption that could be complicated by the cost impacts of </w:t>
      </w:r>
      <w:r w:rsidR="008C086E" w:rsidRPr="0A31FFDD">
        <w:rPr>
          <w:sz w:val="22"/>
          <w:szCs w:val="22"/>
        </w:rPr>
        <w:t xml:space="preserve">extended </w:t>
      </w:r>
      <w:r w:rsidRPr="0A31FFDD">
        <w:rPr>
          <w:sz w:val="22"/>
          <w:szCs w:val="22"/>
        </w:rPr>
        <w:t>international conflict and the uncertain</w:t>
      </w:r>
      <w:r w:rsidR="008C086E" w:rsidRPr="0A31FFDD">
        <w:rPr>
          <w:sz w:val="22"/>
          <w:szCs w:val="22"/>
        </w:rPr>
        <w:t xml:space="preserve">ty of </w:t>
      </w:r>
      <w:r w:rsidRPr="0A31FFDD">
        <w:rPr>
          <w:sz w:val="22"/>
          <w:szCs w:val="22"/>
        </w:rPr>
        <w:t>US</w:t>
      </w:r>
      <w:r w:rsidR="008C086E" w:rsidRPr="0A31FFDD">
        <w:rPr>
          <w:sz w:val="22"/>
          <w:szCs w:val="22"/>
        </w:rPr>
        <w:t xml:space="preserve"> tariffs</w:t>
      </w:r>
      <w:r w:rsidRPr="0A31FFDD">
        <w:rPr>
          <w:sz w:val="22"/>
          <w:szCs w:val="22"/>
        </w:rPr>
        <w:t xml:space="preserve">. </w:t>
      </w:r>
      <w:r w:rsidR="00AB3B64" w:rsidRPr="0A31FFDD">
        <w:rPr>
          <w:sz w:val="22"/>
          <w:szCs w:val="22"/>
        </w:rPr>
        <w:t>This updated estimate</w:t>
      </w:r>
      <w:r w:rsidR="4C29F2EE" w:rsidRPr="0A31FFDD">
        <w:rPr>
          <w:sz w:val="22"/>
          <w:szCs w:val="22"/>
        </w:rPr>
        <w:t xml:space="preserve"> </w:t>
      </w:r>
      <w:r w:rsidR="00AB3B64" w:rsidRPr="0A31FFDD">
        <w:rPr>
          <w:sz w:val="22"/>
          <w:szCs w:val="22"/>
        </w:rPr>
        <w:t>does not include the added costs over recent years of</w:t>
      </w:r>
      <w:r w:rsidRPr="0A31FFDD">
        <w:rPr>
          <w:sz w:val="22"/>
          <w:szCs w:val="22"/>
        </w:rPr>
        <w:t xml:space="preserve"> deterioration due to lack of maintenance, wildfires, floods and other climate emergencies causing significant damage </w:t>
      </w:r>
      <w:r w:rsidRPr="0A31FFDD">
        <w:rPr>
          <w:sz w:val="22"/>
          <w:szCs w:val="22"/>
        </w:rPr>
        <w:lastRenderedPageBreak/>
        <w:t xml:space="preserve">to communities across Canada, and the increasing need for additional land as First Nations outgrow the size of their communities due to growing population and migration back to reserve. </w:t>
      </w:r>
    </w:p>
    <w:p w14:paraId="69BEEE6D" w14:textId="7C4D84F1" w:rsidR="003B6709" w:rsidRDefault="003B6709">
      <w:pPr>
        <w:rPr>
          <w:sz w:val="22"/>
          <w:szCs w:val="22"/>
        </w:rPr>
      </w:pPr>
      <w:r w:rsidRPr="0A31FFDD">
        <w:rPr>
          <w:b/>
          <w:bCs/>
          <w:sz w:val="22"/>
          <w:szCs w:val="22"/>
        </w:rPr>
        <w:t xml:space="preserve">Closing the </w:t>
      </w:r>
      <w:r w:rsidR="7F79E706" w:rsidRPr="0A31FFDD">
        <w:rPr>
          <w:b/>
          <w:bCs/>
          <w:sz w:val="22"/>
          <w:szCs w:val="22"/>
        </w:rPr>
        <w:t>i</w:t>
      </w:r>
      <w:r w:rsidRPr="0A31FFDD">
        <w:rPr>
          <w:b/>
          <w:bCs/>
          <w:sz w:val="22"/>
          <w:szCs w:val="22"/>
        </w:rPr>
        <w:t xml:space="preserve">nfrastructure </w:t>
      </w:r>
      <w:r w:rsidR="1941456E" w:rsidRPr="0A31FFDD">
        <w:rPr>
          <w:b/>
          <w:bCs/>
          <w:sz w:val="22"/>
          <w:szCs w:val="22"/>
        </w:rPr>
        <w:t>g</w:t>
      </w:r>
      <w:r w:rsidRPr="0A31FFDD">
        <w:rPr>
          <w:b/>
          <w:bCs/>
          <w:sz w:val="22"/>
          <w:szCs w:val="22"/>
        </w:rPr>
        <w:t>ap will require a whole-of-government approach, a removal of barriers that slow and prevent First Nation</w:t>
      </w:r>
      <w:r w:rsidR="0050254C" w:rsidRPr="0A31FFDD">
        <w:rPr>
          <w:b/>
          <w:bCs/>
          <w:sz w:val="22"/>
          <w:szCs w:val="22"/>
        </w:rPr>
        <w:t xml:space="preserve"> construction</w:t>
      </w:r>
      <w:r w:rsidRPr="0A31FFDD">
        <w:rPr>
          <w:b/>
          <w:bCs/>
          <w:sz w:val="22"/>
          <w:szCs w:val="22"/>
        </w:rPr>
        <w:t>, and a process that supports First Nations governance, self-determination and decision making.</w:t>
      </w:r>
      <w:r w:rsidRPr="0A31FFDD">
        <w:rPr>
          <w:sz w:val="22"/>
          <w:szCs w:val="22"/>
        </w:rPr>
        <w:t xml:space="preserve"> While government support and funding </w:t>
      </w:r>
      <w:r w:rsidR="00E87A90" w:rsidRPr="0A31FFDD">
        <w:rPr>
          <w:sz w:val="22"/>
          <w:szCs w:val="22"/>
        </w:rPr>
        <w:t>are</w:t>
      </w:r>
      <w:r w:rsidRPr="0A31FFDD">
        <w:rPr>
          <w:sz w:val="22"/>
          <w:szCs w:val="22"/>
        </w:rPr>
        <w:t xml:space="preserve"> crucial to closing the gap, policies and funding must be designed through First Nations-led processes. First Nations leadership are the experts in what is need in their communities, however, many programs are designed with First Nations as an afterthought. This type of policy design will never close the gap. </w:t>
      </w:r>
    </w:p>
    <w:p w14:paraId="413F9328" w14:textId="1BAC015C" w:rsidR="003B6709" w:rsidRDefault="003B6709" w:rsidP="0A31FFDD">
      <w:pPr>
        <w:rPr>
          <w:sz w:val="22"/>
          <w:szCs w:val="22"/>
        </w:rPr>
      </w:pPr>
      <w:r w:rsidRPr="0A31FFDD">
        <w:rPr>
          <w:b/>
          <w:bCs/>
          <w:sz w:val="22"/>
          <w:szCs w:val="22"/>
        </w:rPr>
        <w:t>The estimated economic benefits of closing the gap are</w:t>
      </w:r>
      <w:r w:rsidR="00702CC7" w:rsidRPr="0A31FFDD">
        <w:rPr>
          <w:b/>
          <w:bCs/>
          <w:sz w:val="22"/>
          <w:szCs w:val="22"/>
        </w:rPr>
        <w:t xml:space="preserve"> 1.82 per dollar invested, however, this only scratches the surface of the health, social, and generational benefits of closing the gap.</w:t>
      </w:r>
      <w:r w:rsidRPr="0A31FFDD">
        <w:rPr>
          <w:sz w:val="22"/>
          <w:szCs w:val="22"/>
        </w:rPr>
        <w:t xml:space="preserve"> The infrastructure gap stands as a quantified measure of the impact of colonial policies in Canada. Without closing the gap, First Nations will continue to be overrepresented in the health care system, the child and family services system, incarcerated population, and people experiencing homeless</w:t>
      </w:r>
      <w:r w:rsidR="00CA0564">
        <w:rPr>
          <w:sz w:val="22"/>
          <w:szCs w:val="22"/>
        </w:rPr>
        <w:t>ness</w:t>
      </w:r>
      <w:r w:rsidRPr="0A31FFDD">
        <w:rPr>
          <w:sz w:val="22"/>
          <w:szCs w:val="22"/>
        </w:rPr>
        <w:t>. Closing the infrastructure gap is</w:t>
      </w:r>
      <w:r w:rsidR="2EAB2FD1" w:rsidRPr="0A31FFDD">
        <w:rPr>
          <w:sz w:val="22"/>
          <w:szCs w:val="22"/>
        </w:rPr>
        <w:t xml:space="preserve"> vital to </w:t>
      </w:r>
      <w:r w:rsidRPr="0A31FFDD">
        <w:rPr>
          <w:sz w:val="22"/>
          <w:szCs w:val="22"/>
        </w:rPr>
        <w:t xml:space="preserve">improving First Nations socio-economic outcomes and reconciliation. </w:t>
      </w:r>
    </w:p>
    <w:p w14:paraId="4D9626A3" w14:textId="22B881AA" w:rsidR="008007B1" w:rsidRPr="008007B1" w:rsidRDefault="008007B1" w:rsidP="008007B1">
      <w:pPr>
        <w:pStyle w:val="Heading2"/>
        <w:rPr>
          <w:b/>
          <w:bCs/>
          <w:color w:val="C00000"/>
        </w:rPr>
      </w:pPr>
      <w:r w:rsidRPr="0A31FFDD">
        <w:rPr>
          <w:b/>
          <w:bCs/>
          <w:color w:val="C00000"/>
        </w:rPr>
        <w:t>Conclusion</w:t>
      </w:r>
    </w:p>
    <w:p w14:paraId="31319F16" w14:textId="63088B7D" w:rsidR="003B6709" w:rsidRPr="003B6709" w:rsidRDefault="6D5138AC" w:rsidP="0A31FFDD">
      <w:r w:rsidRPr="0A31FFDD">
        <w:rPr>
          <w:b/>
          <w:bCs/>
          <w:sz w:val="22"/>
          <w:szCs w:val="22"/>
        </w:rPr>
        <w:t xml:space="preserve">The update to CTIG </w:t>
      </w:r>
      <w:r w:rsidR="006C4E90" w:rsidRPr="0A31FFDD">
        <w:rPr>
          <w:b/>
          <w:bCs/>
          <w:sz w:val="22"/>
          <w:szCs w:val="22"/>
        </w:rPr>
        <w:t>confirms that the First Nations infrastructure gap continues to grow despite increased funding</w:t>
      </w:r>
      <w:r w:rsidR="66221EB7" w:rsidRPr="0A31FFDD">
        <w:rPr>
          <w:b/>
          <w:bCs/>
          <w:sz w:val="22"/>
          <w:szCs w:val="22"/>
        </w:rPr>
        <w:t>, although the pace of growth has declined</w:t>
      </w:r>
      <w:r w:rsidR="008B335F" w:rsidRPr="0A31FFDD">
        <w:rPr>
          <w:b/>
          <w:bCs/>
          <w:sz w:val="22"/>
          <w:szCs w:val="22"/>
        </w:rPr>
        <w:t>.</w:t>
      </w:r>
      <w:r w:rsidR="006C4E90" w:rsidRPr="0A31FFDD">
        <w:rPr>
          <w:sz w:val="22"/>
          <w:szCs w:val="22"/>
        </w:rPr>
        <w:t xml:space="preserve"> </w:t>
      </w:r>
      <w:r w:rsidR="008B335F" w:rsidRPr="0A31FFDD">
        <w:rPr>
          <w:sz w:val="22"/>
          <w:szCs w:val="22"/>
        </w:rPr>
        <w:t xml:space="preserve">The lack of progress towards closing the gap </w:t>
      </w:r>
      <w:r w:rsidR="006C4E90" w:rsidRPr="0A31FFDD">
        <w:rPr>
          <w:sz w:val="22"/>
          <w:szCs w:val="22"/>
        </w:rPr>
        <w:t>reflect</w:t>
      </w:r>
      <w:r w:rsidR="008B335F" w:rsidRPr="0A31FFDD">
        <w:rPr>
          <w:sz w:val="22"/>
          <w:szCs w:val="22"/>
        </w:rPr>
        <w:t xml:space="preserve">s the persistent </w:t>
      </w:r>
      <w:r w:rsidR="006C4E90" w:rsidRPr="0A31FFDD">
        <w:rPr>
          <w:sz w:val="22"/>
          <w:szCs w:val="22"/>
        </w:rPr>
        <w:t>structural challenges in how infrastructure is planned, funded,</w:t>
      </w:r>
      <w:r w:rsidR="527D9E60" w:rsidRPr="0A31FFDD">
        <w:rPr>
          <w:sz w:val="22"/>
          <w:szCs w:val="22"/>
        </w:rPr>
        <w:t xml:space="preserve"> and </w:t>
      </w:r>
      <w:r w:rsidR="006C4E90" w:rsidRPr="0A31FFDD">
        <w:rPr>
          <w:sz w:val="22"/>
          <w:szCs w:val="22"/>
        </w:rPr>
        <w:t>delivered. The updated analysis reinforces that progress is constrained by</w:t>
      </w:r>
      <w:r w:rsidR="0902B0CB" w:rsidRPr="0A31FFDD">
        <w:rPr>
          <w:sz w:val="22"/>
          <w:szCs w:val="22"/>
        </w:rPr>
        <w:t xml:space="preserve"> federal legislation, reserve creation, funding, and policy </w:t>
      </w:r>
      <w:r w:rsidR="5EA63EA0" w:rsidRPr="0A31FFDD">
        <w:rPr>
          <w:sz w:val="22"/>
          <w:szCs w:val="22"/>
        </w:rPr>
        <w:t>that is</w:t>
      </w:r>
      <w:r w:rsidR="006C4E90" w:rsidRPr="0A31FFDD">
        <w:rPr>
          <w:sz w:val="22"/>
          <w:szCs w:val="22"/>
        </w:rPr>
        <w:t xml:space="preserve"> fragment</w:t>
      </w:r>
      <w:r w:rsidR="03236D82" w:rsidRPr="0A31FFDD">
        <w:rPr>
          <w:sz w:val="22"/>
          <w:szCs w:val="22"/>
        </w:rPr>
        <w:t>ed</w:t>
      </w:r>
      <w:r w:rsidR="006C4E90" w:rsidRPr="0A31FFDD">
        <w:rPr>
          <w:sz w:val="22"/>
          <w:szCs w:val="22"/>
        </w:rPr>
        <w:t xml:space="preserve"> across public systems, misalign</w:t>
      </w:r>
      <w:r w:rsidR="56C40272" w:rsidRPr="0A31FFDD">
        <w:rPr>
          <w:sz w:val="22"/>
          <w:szCs w:val="22"/>
        </w:rPr>
        <w:t>ed</w:t>
      </w:r>
      <w:r w:rsidR="006C4E90" w:rsidRPr="0A31FFDD">
        <w:rPr>
          <w:sz w:val="22"/>
          <w:szCs w:val="22"/>
        </w:rPr>
        <w:t xml:space="preserve"> with asset lifecycles, </w:t>
      </w:r>
      <w:r w:rsidR="298138D2" w:rsidRPr="0A31FFDD">
        <w:rPr>
          <w:sz w:val="22"/>
          <w:szCs w:val="22"/>
        </w:rPr>
        <w:t xml:space="preserve">and </w:t>
      </w:r>
      <w:r w:rsidR="7D1CC421" w:rsidRPr="0A31FFDD">
        <w:rPr>
          <w:sz w:val="22"/>
          <w:szCs w:val="22"/>
        </w:rPr>
        <w:t>insufficiently</w:t>
      </w:r>
      <w:r w:rsidR="7AEA82A5" w:rsidRPr="0A31FFDD">
        <w:rPr>
          <w:sz w:val="22"/>
          <w:szCs w:val="22"/>
        </w:rPr>
        <w:t xml:space="preserve"> grounded in</w:t>
      </w:r>
      <w:r w:rsidR="7D1CC421" w:rsidRPr="0A31FFDD">
        <w:rPr>
          <w:sz w:val="22"/>
          <w:szCs w:val="22"/>
        </w:rPr>
        <w:t xml:space="preserve"> </w:t>
      </w:r>
      <w:r w:rsidR="298138D2" w:rsidRPr="0A31FFDD">
        <w:rPr>
          <w:sz w:val="22"/>
          <w:szCs w:val="22"/>
        </w:rPr>
        <w:t xml:space="preserve">First Nations </w:t>
      </w:r>
      <w:r w:rsidR="4AAFA7CA" w:rsidRPr="0A31FFDD">
        <w:rPr>
          <w:sz w:val="22"/>
          <w:szCs w:val="22"/>
        </w:rPr>
        <w:t>rights and governance.</w:t>
      </w:r>
    </w:p>
    <w:sectPr w:rsidR="003B6709" w:rsidRPr="003B67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64"/>
    <w:rsid w:val="000E5237"/>
    <w:rsid w:val="000F1E1D"/>
    <w:rsid w:val="000F796D"/>
    <w:rsid w:val="001270DC"/>
    <w:rsid w:val="00193052"/>
    <w:rsid w:val="001B44E5"/>
    <w:rsid w:val="001C3AD6"/>
    <w:rsid w:val="00237CE5"/>
    <w:rsid w:val="002651FD"/>
    <w:rsid w:val="0027069B"/>
    <w:rsid w:val="0029328B"/>
    <w:rsid w:val="003152CE"/>
    <w:rsid w:val="00373216"/>
    <w:rsid w:val="003B6709"/>
    <w:rsid w:val="004F4227"/>
    <w:rsid w:val="0050254C"/>
    <w:rsid w:val="00561750"/>
    <w:rsid w:val="005A05B6"/>
    <w:rsid w:val="005B7B44"/>
    <w:rsid w:val="005C13B6"/>
    <w:rsid w:val="00614480"/>
    <w:rsid w:val="0063517C"/>
    <w:rsid w:val="006675F6"/>
    <w:rsid w:val="006B4864"/>
    <w:rsid w:val="006C4E90"/>
    <w:rsid w:val="007020CD"/>
    <w:rsid w:val="00702CC7"/>
    <w:rsid w:val="008007B1"/>
    <w:rsid w:val="008B335F"/>
    <w:rsid w:val="008C05DD"/>
    <w:rsid w:val="008C086E"/>
    <w:rsid w:val="00A055D0"/>
    <w:rsid w:val="00A93323"/>
    <w:rsid w:val="00AB3B64"/>
    <w:rsid w:val="00C45815"/>
    <w:rsid w:val="00C632A9"/>
    <w:rsid w:val="00C85AD8"/>
    <w:rsid w:val="00CA0564"/>
    <w:rsid w:val="00D65E31"/>
    <w:rsid w:val="00DA2463"/>
    <w:rsid w:val="00DF3CF7"/>
    <w:rsid w:val="00DF55B2"/>
    <w:rsid w:val="00E87A90"/>
    <w:rsid w:val="0108C6DD"/>
    <w:rsid w:val="01BDC446"/>
    <w:rsid w:val="03236D82"/>
    <w:rsid w:val="03B3E6A0"/>
    <w:rsid w:val="04ECF886"/>
    <w:rsid w:val="05AF8810"/>
    <w:rsid w:val="0902B0CB"/>
    <w:rsid w:val="0943730C"/>
    <w:rsid w:val="0A31FFDD"/>
    <w:rsid w:val="0A76771A"/>
    <w:rsid w:val="0AA95C49"/>
    <w:rsid w:val="0D6F3F1E"/>
    <w:rsid w:val="0ECDC823"/>
    <w:rsid w:val="0FD5356D"/>
    <w:rsid w:val="11B2D040"/>
    <w:rsid w:val="11DE29FF"/>
    <w:rsid w:val="12E34DFF"/>
    <w:rsid w:val="160AF860"/>
    <w:rsid w:val="183F2ED9"/>
    <w:rsid w:val="1941456E"/>
    <w:rsid w:val="1AA1A1BD"/>
    <w:rsid w:val="1C43ACF6"/>
    <w:rsid w:val="1E955F5C"/>
    <w:rsid w:val="22A057D8"/>
    <w:rsid w:val="2387993B"/>
    <w:rsid w:val="25FF0294"/>
    <w:rsid w:val="298138D2"/>
    <w:rsid w:val="29824BC7"/>
    <w:rsid w:val="29D22E07"/>
    <w:rsid w:val="2A0E591A"/>
    <w:rsid w:val="2BF0A15A"/>
    <w:rsid w:val="2CD7F318"/>
    <w:rsid w:val="2D41721C"/>
    <w:rsid w:val="2D6F61CB"/>
    <w:rsid w:val="2DCF20BB"/>
    <w:rsid w:val="2EAB2FD1"/>
    <w:rsid w:val="3344830F"/>
    <w:rsid w:val="36CEE79E"/>
    <w:rsid w:val="38EDC3A7"/>
    <w:rsid w:val="3AAE6F0A"/>
    <w:rsid w:val="3D2F79F5"/>
    <w:rsid w:val="3E0102E4"/>
    <w:rsid w:val="3EA7E280"/>
    <w:rsid w:val="42E7C503"/>
    <w:rsid w:val="434BBD4A"/>
    <w:rsid w:val="43B028D4"/>
    <w:rsid w:val="44080627"/>
    <w:rsid w:val="48E5FCE9"/>
    <w:rsid w:val="4AAFA7CA"/>
    <w:rsid w:val="4ADF75C7"/>
    <w:rsid w:val="4C29F2EE"/>
    <w:rsid w:val="4F21388B"/>
    <w:rsid w:val="4F2D602F"/>
    <w:rsid w:val="4FA63A77"/>
    <w:rsid w:val="50791F94"/>
    <w:rsid w:val="51B9FBDA"/>
    <w:rsid w:val="527D9E60"/>
    <w:rsid w:val="5389DE37"/>
    <w:rsid w:val="550C28CB"/>
    <w:rsid w:val="56C40272"/>
    <w:rsid w:val="58B771E5"/>
    <w:rsid w:val="58ED2321"/>
    <w:rsid w:val="5A74215B"/>
    <w:rsid w:val="5C56E259"/>
    <w:rsid w:val="5DA84047"/>
    <w:rsid w:val="5EA63EA0"/>
    <w:rsid w:val="605A211D"/>
    <w:rsid w:val="60C8A9BC"/>
    <w:rsid w:val="63999507"/>
    <w:rsid w:val="6403FD87"/>
    <w:rsid w:val="65661515"/>
    <w:rsid w:val="66221EB7"/>
    <w:rsid w:val="69F036E9"/>
    <w:rsid w:val="6A5C5B0B"/>
    <w:rsid w:val="6BB2190A"/>
    <w:rsid w:val="6D28165D"/>
    <w:rsid w:val="6D3B6841"/>
    <w:rsid w:val="6D5138AC"/>
    <w:rsid w:val="6DF85F8C"/>
    <w:rsid w:val="70E843F9"/>
    <w:rsid w:val="738C9F69"/>
    <w:rsid w:val="73D104A3"/>
    <w:rsid w:val="75BBEE0E"/>
    <w:rsid w:val="76F81AE0"/>
    <w:rsid w:val="7AEA82A5"/>
    <w:rsid w:val="7CA16F79"/>
    <w:rsid w:val="7CB518E6"/>
    <w:rsid w:val="7D1CC421"/>
    <w:rsid w:val="7E7A52C6"/>
    <w:rsid w:val="7F79E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F97F4"/>
  <w15:chartTrackingRefBased/>
  <w15:docId w15:val="{7570581A-5CAA-4FE0-8671-D9E1D5DF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64"/>
  </w:style>
  <w:style w:type="paragraph" w:styleId="Heading1">
    <w:name w:val="heading 1"/>
    <w:basedOn w:val="Normal"/>
    <w:next w:val="Normal"/>
    <w:link w:val="Heading1Char"/>
    <w:uiPriority w:val="9"/>
    <w:qFormat/>
    <w:rsid w:val="00A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B64"/>
    <w:rPr>
      <w:rFonts w:eastAsiaTheme="majorEastAsia" w:cstheme="majorBidi"/>
      <w:color w:val="272727" w:themeColor="text1" w:themeTint="D8"/>
    </w:rPr>
  </w:style>
  <w:style w:type="paragraph" w:styleId="Title">
    <w:name w:val="Title"/>
    <w:basedOn w:val="Normal"/>
    <w:next w:val="Normal"/>
    <w:link w:val="TitleChar"/>
    <w:uiPriority w:val="10"/>
    <w:qFormat/>
    <w:rsid w:val="00A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AB3B64"/>
    <w:rPr>
      <w:i/>
      <w:iCs/>
      <w:color w:val="404040" w:themeColor="text1" w:themeTint="BF"/>
    </w:rPr>
  </w:style>
  <w:style w:type="paragraph" w:styleId="ListParagraph">
    <w:name w:val="List Paragraph"/>
    <w:basedOn w:val="Normal"/>
    <w:uiPriority w:val="34"/>
    <w:qFormat/>
    <w:rsid w:val="00AB3B64"/>
    <w:pPr>
      <w:ind w:left="720"/>
      <w:contextualSpacing/>
    </w:pPr>
  </w:style>
  <w:style w:type="character" w:styleId="IntenseEmphasis">
    <w:name w:val="Intense Emphasis"/>
    <w:basedOn w:val="DefaultParagraphFont"/>
    <w:uiPriority w:val="21"/>
    <w:qFormat/>
    <w:rsid w:val="00AB3B64"/>
    <w:rPr>
      <w:i/>
      <w:iCs/>
      <w:color w:val="0F4761" w:themeColor="accent1" w:themeShade="BF"/>
    </w:rPr>
  </w:style>
  <w:style w:type="paragraph" w:styleId="IntenseQuote">
    <w:name w:val="Intense Quote"/>
    <w:basedOn w:val="Normal"/>
    <w:next w:val="Normal"/>
    <w:link w:val="IntenseQuoteChar"/>
    <w:uiPriority w:val="30"/>
    <w:qFormat/>
    <w:rsid w:val="00A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B64"/>
    <w:rPr>
      <w:i/>
      <w:iCs/>
      <w:color w:val="0F4761" w:themeColor="accent1" w:themeShade="BF"/>
    </w:rPr>
  </w:style>
  <w:style w:type="character" w:styleId="IntenseReference">
    <w:name w:val="Intense Reference"/>
    <w:basedOn w:val="DefaultParagraphFont"/>
    <w:uiPriority w:val="32"/>
    <w:qFormat/>
    <w:rsid w:val="00AB3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c9074d-26e0-4e32-a80a-921c26b89d48" xsi:nil="true"/>
    <lcf76f155ced4ddcb4097134ff3c332f xmlns="7fb77f97-dd37-44d8-8bb1-bb2b47f510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4A8B9D9A8BD4390B5DD99D2E02936" ma:contentTypeVersion="13" ma:contentTypeDescription="Create a new document." ma:contentTypeScope="" ma:versionID="a897e2cc794a80049eca8f2a1c875b58">
  <xsd:schema xmlns:xsd="http://www.w3.org/2001/XMLSchema" xmlns:xs="http://www.w3.org/2001/XMLSchema" xmlns:p="http://schemas.microsoft.com/office/2006/metadata/properties" xmlns:ns2="7fb77f97-dd37-44d8-8bb1-bb2b47f51062" xmlns:ns3="1bc9074d-26e0-4e32-a80a-921c26b89d48" targetNamespace="http://schemas.microsoft.com/office/2006/metadata/properties" ma:root="true" ma:fieldsID="50befdfb64c96a1705016a54c5c41bfe" ns2:_="" ns3:_="">
    <xsd:import namespace="7fb77f97-dd37-44d8-8bb1-bb2b47f51062"/>
    <xsd:import namespace="1bc9074d-26e0-4e32-a80a-921c26b89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77f97-dd37-44d8-8bb1-bb2b47f5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47a1fa-2338-4024-beb4-812ea17b0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9074d-26e0-4e32-a80a-921c26b89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ff0f67-0de9-4cb8-b23c-3b7fd4d05451}" ma:internalName="TaxCatchAll" ma:showField="CatchAllData" ma:web="1bc9074d-26e0-4e32-a80a-921c26b89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BDF80-516A-4637-AF42-834DC60FF8F6}">
  <ds:schemaRefs>
    <ds:schemaRef ds:uri="http://schemas.microsoft.com/office/2006/metadata/properties"/>
    <ds:schemaRef ds:uri="http://schemas.microsoft.com/office/infopath/2007/PartnerControls"/>
    <ds:schemaRef ds:uri="1bc9074d-26e0-4e32-a80a-921c26b89d48"/>
    <ds:schemaRef ds:uri="7fb77f97-dd37-44d8-8bb1-bb2b47f51062"/>
  </ds:schemaRefs>
</ds:datastoreItem>
</file>

<file path=customXml/itemProps2.xml><?xml version="1.0" encoding="utf-8"?>
<ds:datastoreItem xmlns:ds="http://schemas.openxmlformats.org/officeDocument/2006/customXml" ds:itemID="{932E119B-80D8-4E89-A771-AE743BB524BA}">
  <ds:schemaRefs>
    <ds:schemaRef ds:uri="http://schemas.microsoft.com/sharepoint/v3/contenttype/forms"/>
  </ds:schemaRefs>
</ds:datastoreItem>
</file>

<file path=customXml/itemProps3.xml><?xml version="1.0" encoding="utf-8"?>
<ds:datastoreItem xmlns:ds="http://schemas.openxmlformats.org/officeDocument/2006/customXml" ds:itemID="{C39D3044-744D-48D6-B1FC-9AF24E7F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77f97-dd37-44d8-8bb1-bb2b47f51062"/>
    <ds:schemaRef ds:uri="1bc9074d-26e0-4e32-a80a-921c26b89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4287</Characters>
  <Application>Microsoft Office Word</Application>
  <DocSecurity>0</DocSecurity>
  <Lines>68</Lines>
  <Paragraphs>17</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Carello</dc:creator>
  <cp:keywords/>
  <dc:description/>
  <cp:lastModifiedBy>Sarah Carello</cp:lastModifiedBy>
  <cp:revision>3</cp:revision>
  <dcterms:created xsi:type="dcterms:W3CDTF">2026-06-12T14:28:00Z</dcterms:created>
  <dcterms:modified xsi:type="dcterms:W3CDTF">2026-06-12T14:59:00Z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0x010100F604A8B9D9A8BD4390B5DD99D2E02936</vt:lpwstr>
  </property>
  <property fmtid="{D5CDD505-2E9C-101B-9397-08002B2CF9AE}" pid="3" name="MediaServiceImageTags">
    <vt:lpwstr/>
  </property>
</Properties>
</file>