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4C1666" w14:paraId="022A6E70" w14:textId="77777777" w:rsidTr="00FD6B4C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77777777" w:rsidR="00F341B6" w:rsidRPr="00510CD2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10CD2">
              <w:rPr>
                <w:rFonts w:ascii="Arial Narrow" w:hAnsi="Arial Narrow"/>
                <w:b/>
                <w:sz w:val="24"/>
                <w:szCs w:val="24"/>
              </w:rPr>
              <w:t>Descriptive and reflective of the intention of the resolution</w:t>
            </w:r>
          </w:p>
        </w:tc>
      </w:tr>
      <w:tr w:rsidR="00F341B6" w:rsidRPr="004C1666" w14:paraId="18E8ACE5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77777777" w:rsidR="00F341B6" w:rsidRPr="004C1666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 xml:space="preserve">Health, Education, Treaties, </w:t>
            </w:r>
            <w:proofErr w:type="spellStart"/>
            <w:r w:rsidR="00B227B8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</w:p>
        </w:tc>
      </w:tr>
      <w:tr w:rsidR="00F341B6" w:rsidRPr="004C1666" w14:paraId="1E4AA843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EDCF90A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  <w:tr w:rsidR="00F341B6" w:rsidRPr="004C1666" w14:paraId="26A5048E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2000AA5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</w:tbl>
    <w:p w14:paraId="23AC804C" w14:textId="77777777" w:rsidR="004077C7" w:rsidRDefault="004077C7" w:rsidP="00F470A8">
      <w:pPr>
        <w:pStyle w:val="NoSpacing"/>
        <w:rPr>
          <w:rFonts w:ascii="Arial Narrow" w:hAnsi="Arial Narrow"/>
          <w:sz w:val="24"/>
          <w:szCs w:val="24"/>
        </w:rPr>
      </w:pPr>
    </w:p>
    <w:p w14:paraId="2BC2ACBE" w14:textId="77777777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r w:rsidRPr="00F341B6">
        <w:rPr>
          <w:rFonts w:ascii="Arial Narrow" w:hAnsi="Arial Narrow"/>
          <w:b/>
          <w:sz w:val="24"/>
          <w:szCs w:val="24"/>
        </w:rPr>
        <w:t>WHEREAS:</w:t>
      </w:r>
    </w:p>
    <w:p w14:paraId="6669B349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All resolutions should begin by citing relevant sections of the United Nations Declaration on the Rights of Indigenous Peoples (</w:t>
      </w:r>
      <w:hyperlink r:id="rId7" w:history="1">
        <w:r w:rsidRPr="001B398C">
          <w:rPr>
            <w:rStyle w:val="Hyperlink"/>
            <w:rFonts w:ascii="Arial Narrow" w:hAnsi="Arial Narrow"/>
            <w:sz w:val="24"/>
            <w:szCs w:val="24"/>
          </w:rPr>
          <w:t>http://www.un.org/esa/socdev/unpfii/documents/DRIPS_en.pdf</w:t>
        </w:r>
      </w:hyperlink>
      <w:r>
        <w:rPr>
          <w:rFonts w:ascii="Arial Narrow" w:hAnsi="Arial Narrow"/>
          <w:sz w:val="24"/>
          <w:szCs w:val="24"/>
        </w:rPr>
        <w:t>)</w:t>
      </w:r>
    </w:p>
    <w:p w14:paraId="000FF58E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 xml:space="preserve">This section provides </w:t>
      </w:r>
      <w:proofErr w:type="gramStart"/>
      <w:r w:rsidRPr="00F341B6">
        <w:rPr>
          <w:rFonts w:ascii="Arial Narrow" w:hAnsi="Arial Narrow"/>
          <w:sz w:val="24"/>
          <w:szCs w:val="24"/>
        </w:rPr>
        <w:t>the background</w:t>
      </w:r>
      <w:proofErr w:type="gramEnd"/>
      <w:r w:rsidRPr="00F341B6">
        <w:rPr>
          <w:rFonts w:ascii="Arial Narrow" w:hAnsi="Arial Narrow"/>
          <w:sz w:val="24"/>
          <w:szCs w:val="24"/>
        </w:rPr>
        <w:t xml:space="preserve"> information for the resolution.</w:t>
      </w:r>
    </w:p>
    <w:p w14:paraId="7F4BE9A0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It identifies the exact problem to be addressed and the rationale.</w:t>
      </w:r>
    </w:p>
    <w:p w14:paraId="1E4EA34D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“whereas” is a reason for the resolution and each reason requires a separate clause.</w:t>
      </w:r>
    </w:p>
    <w:p w14:paraId="49DB921F" w14:textId="1724B6B1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If the rationale cannot be explained in five clauses or less due to the complexity of the issue, then background or supporting documentation may be attached.</w:t>
      </w:r>
    </w:p>
    <w:p w14:paraId="07817E3D" w14:textId="77777777" w:rsidR="00F341B6" w:rsidRP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section should prepare the reader for the action presented in the “the</w:t>
      </w:r>
      <w:r>
        <w:rPr>
          <w:rFonts w:ascii="Arial Narrow" w:hAnsi="Arial Narrow"/>
          <w:sz w:val="24"/>
          <w:szCs w:val="24"/>
        </w:rPr>
        <w:t xml:space="preserve">refore be it resolved” section </w:t>
      </w:r>
      <w:r w:rsidRPr="00F341B6">
        <w:rPr>
          <w:rFonts w:ascii="Arial Narrow" w:hAnsi="Arial Narrow"/>
          <w:sz w:val="24"/>
          <w:szCs w:val="24"/>
        </w:rPr>
        <w:t>below.</w:t>
      </w:r>
    </w:p>
    <w:p w14:paraId="0DD4AEDF" w14:textId="77777777" w:rsidR="00F341B6" w:rsidRPr="00F341B6" w:rsidRDefault="00F341B6" w:rsidP="00F341B6">
      <w:pPr>
        <w:pStyle w:val="NoSpacing"/>
        <w:rPr>
          <w:rFonts w:ascii="Arial Narrow" w:hAnsi="Arial Narrow"/>
          <w:sz w:val="24"/>
          <w:szCs w:val="24"/>
        </w:rPr>
      </w:pPr>
    </w:p>
    <w:p w14:paraId="33456A25" w14:textId="5D604440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proofErr w:type="gramStart"/>
      <w:r w:rsidRPr="00F341B6">
        <w:rPr>
          <w:rFonts w:ascii="Arial Narrow" w:hAnsi="Arial Narrow"/>
          <w:b/>
          <w:sz w:val="24"/>
          <w:szCs w:val="24"/>
        </w:rPr>
        <w:t>THEREFORE</w:t>
      </w:r>
      <w:proofErr w:type="gramEnd"/>
      <w:r w:rsidRPr="00F341B6">
        <w:rPr>
          <w:rFonts w:ascii="Arial Narrow" w:hAnsi="Arial Narrow"/>
          <w:b/>
          <w:sz w:val="24"/>
          <w:szCs w:val="24"/>
        </w:rPr>
        <w:t xml:space="preserve"> BE IT RESOLVED that the </w:t>
      </w:r>
      <w:r w:rsidR="000544C8">
        <w:rPr>
          <w:rFonts w:ascii="Arial Narrow" w:hAnsi="Arial Narrow"/>
          <w:b/>
          <w:sz w:val="24"/>
          <w:szCs w:val="24"/>
        </w:rPr>
        <w:t>First Nations</w:t>
      </w:r>
      <w:r w:rsidRPr="00F341B6">
        <w:rPr>
          <w:rFonts w:ascii="Arial Narrow" w:hAnsi="Arial Narrow"/>
          <w:b/>
          <w:sz w:val="24"/>
          <w:szCs w:val="24"/>
        </w:rPr>
        <w:t>-in-Assembly:</w:t>
      </w:r>
    </w:p>
    <w:p w14:paraId="0905CBB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is the very reason why the resolution is being drafted in the first place.</w:t>
      </w:r>
    </w:p>
    <w:p w14:paraId="3E64B66C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 course of action that is being put forward should be identified here.</w:t>
      </w:r>
    </w:p>
    <w:p w14:paraId="38B714A4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action requires a separate clause.</w:t>
      </w:r>
    </w:p>
    <w:p w14:paraId="629FB563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Be as clear as possible when stating what the resolution is meant to achieve.</w:t>
      </w:r>
    </w:p>
    <w:p w14:paraId="23FE80B1" w14:textId="77777777" w:rsidR="00F341B6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Try to begin each clause with an action verb (direct, call-upon, request, etc.).</w:t>
      </w:r>
    </w:p>
    <w:p w14:paraId="759BC51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There should be no doubt as to what action is being requested, who should do it, how it should be done and when it should be done.</w:t>
      </w:r>
    </w:p>
    <w:p w14:paraId="73E4E56F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Clauses addressing federal issues should direct the AFN to request the federal government to work to</w:t>
      </w:r>
      <w:r>
        <w:rPr>
          <w:rFonts w:ascii="Arial Narrow" w:hAnsi="Arial Narrow"/>
          <w:sz w:val="24"/>
          <w:szCs w:val="24"/>
        </w:rPr>
        <w:t xml:space="preserve"> achieve the desired objective, </w:t>
      </w:r>
      <w:r w:rsidRPr="00F341B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>, “that the Chiefs-in-Assembly direct the AFN to ur</w:t>
      </w:r>
      <w:r>
        <w:rPr>
          <w:rFonts w:ascii="Arial Narrow" w:hAnsi="Arial Narrow"/>
          <w:sz w:val="24"/>
          <w:szCs w:val="24"/>
        </w:rPr>
        <w:t>ge the federal government to…”</w:t>
      </w:r>
    </w:p>
    <w:p w14:paraId="2F42CAB0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Chiefs-in-Assembly can</w:t>
      </w:r>
      <w:r w:rsidRPr="00F341B6">
        <w:rPr>
          <w:rFonts w:ascii="Arial Narrow" w:hAnsi="Arial Narrow"/>
          <w:sz w:val="24"/>
          <w:szCs w:val="24"/>
        </w:rPr>
        <w:t>not direct another organization or government to do something, however, a course of action can be recommended to another organization.</w:t>
      </w:r>
    </w:p>
    <w:p w14:paraId="3066830D" w14:textId="77777777" w:rsidR="00F341B6" w:rsidRP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F341B6" w:rsidSect="00F341B6">
      <w:headerReference w:type="default" r:id="rId8"/>
      <w:footerReference w:type="default" r:id="rId9"/>
      <w:pgSz w:w="12240" w:h="15840"/>
      <w:pgMar w:top="1440" w:right="1440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111D" w14:textId="77777777" w:rsidR="00F470A8" w:rsidRDefault="00F470A8" w:rsidP="00F470A8">
      <w:r>
        <w:separator/>
      </w:r>
    </w:p>
  </w:endnote>
  <w:endnote w:type="continuationSeparator" w:id="0">
    <w:p w14:paraId="7CB8751A" w14:textId="77777777" w:rsidR="00F470A8" w:rsidRDefault="00F470A8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51C8" w14:textId="77777777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>AFN Draft Resolution Template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5DA4" w14:textId="77777777" w:rsidR="00F470A8" w:rsidRDefault="00F470A8" w:rsidP="00F470A8">
      <w:r>
        <w:separator/>
      </w:r>
    </w:p>
  </w:footnote>
  <w:footnote w:type="continuationSeparator" w:id="0">
    <w:p w14:paraId="6A875B92" w14:textId="77777777" w:rsidR="00F470A8" w:rsidRDefault="00F470A8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C34F" w14:textId="45C0A3F1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404E4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23</w:t>
    </w:r>
  </w:p>
  <w:p w14:paraId="2E365F4E" w14:textId="77777777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</w:rPr>
    </w:pPr>
  </w:p>
  <w:p w14:paraId="76F2F040" w14:textId="16445E91" w:rsidR="00F470A8" w:rsidRPr="003318B6" w:rsidRDefault="008A385F" w:rsidP="008A385F">
    <w:pPr>
      <w:tabs>
        <w:tab w:val="center" w:pos="4680"/>
        <w:tab w:val="right" w:pos="9360"/>
      </w:tabs>
      <w:jc w:val="center"/>
      <w:rPr>
        <w:rFonts w:ascii="Arial" w:hAnsi="Arial" w:cs="Arial"/>
        <w:sz w:val="28"/>
        <w:szCs w:val="24"/>
      </w:rPr>
    </w:pPr>
    <w:r w:rsidRPr="008A385F">
      <w:rPr>
        <w:rFonts w:ascii="Arial" w:hAnsi="Arial" w:cs="Arial"/>
        <w:b/>
        <w:sz w:val="28"/>
        <w:szCs w:val="24"/>
      </w:rPr>
      <w:t xml:space="preserve">AFN Special Chiefs Assembly, </w:t>
    </w:r>
    <w:r w:rsidR="001F6AFA">
      <w:rPr>
        <w:rFonts w:ascii="Arial" w:hAnsi="Arial" w:cs="Arial"/>
        <w:b/>
        <w:sz w:val="28"/>
        <w:szCs w:val="24"/>
      </w:rPr>
      <w:t>December 5-7</w:t>
    </w:r>
    <w:r w:rsidRPr="008A385F">
      <w:rPr>
        <w:rFonts w:ascii="Arial" w:hAnsi="Arial" w:cs="Arial"/>
        <w:b/>
        <w:sz w:val="28"/>
        <w:szCs w:val="24"/>
      </w:rPr>
      <w:t>, 2023, Ottawa, ON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74FF"/>
    <w:multiLevelType w:val="hybridMultilevel"/>
    <w:tmpl w:val="6F36C22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034305">
    <w:abstractNumId w:val="1"/>
  </w:num>
  <w:num w:numId="2" w16cid:durableId="1836413741">
    <w:abstractNumId w:val="0"/>
  </w:num>
  <w:num w:numId="3" w16cid:durableId="31969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544C8"/>
    <w:rsid w:val="000F2088"/>
    <w:rsid w:val="001F6AFA"/>
    <w:rsid w:val="003318B6"/>
    <w:rsid w:val="00395AE9"/>
    <w:rsid w:val="00404E46"/>
    <w:rsid w:val="004077C7"/>
    <w:rsid w:val="00432C31"/>
    <w:rsid w:val="004A11C2"/>
    <w:rsid w:val="00510CD2"/>
    <w:rsid w:val="00566A26"/>
    <w:rsid w:val="00615570"/>
    <w:rsid w:val="007E5FA8"/>
    <w:rsid w:val="008A385F"/>
    <w:rsid w:val="009D4816"/>
    <w:rsid w:val="00A65509"/>
    <w:rsid w:val="00B202A3"/>
    <w:rsid w:val="00B227B8"/>
    <w:rsid w:val="00BA60B7"/>
    <w:rsid w:val="00C950D7"/>
    <w:rsid w:val="00CD0BA9"/>
    <w:rsid w:val="00E20444"/>
    <w:rsid w:val="00F0180B"/>
    <w:rsid w:val="00F021EC"/>
    <w:rsid w:val="00F341B6"/>
    <w:rsid w:val="00F42C38"/>
    <w:rsid w:val="00F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Regina Toulouse</cp:lastModifiedBy>
  <cp:revision>2</cp:revision>
  <cp:lastPrinted>2016-04-11T20:16:00Z</cp:lastPrinted>
  <dcterms:created xsi:type="dcterms:W3CDTF">2023-09-13T11:29:00Z</dcterms:created>
  <dcterms:modified xsi:type="dcterms:W3CDTF">2023-09-13T11:29:00Z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da3cb885f36a0b13a993c3aec997abaec43089de463feeba48ec94d8b2b4c4ae</vt:lpwstr>
  </property>
</Properties>
</file>