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308"/>
      </w:tblGrid>
      <w:tr w:rsidR="00F341B6" w:rsidRPr="004C1666" w14:paraId="022A6E70" w14:textId="77777777" w:rsidTr="00FD6B4C">
        <w:trPr>
          <w:trHeight w:val="5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F1AC49C" w14:textId="77777777" w:rsidR="00F341B6" w:rsidRPr="004C1666" w:rsidRDefault="00F341B6" w:rsidP="003318B6">
            <w:pPr>
              <w:pStyle w:val="NoTitle"/>
              <w:spacing w:before="16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C1666">
              <w:rPr>
                <w:rFonts w:ascii="Arial Narrow" w:hAnsi="Arial Narrow"/>
                <w:b/>
                <w:sz w:val="24"/>
                <w:szCs w:val="24"/>
              </w:rPr>
              <w:t>TITLE: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20F56B84" w14:textId="463EFCB4" w:rsidR="00F341B6" w:rsidRPr="00510CD2" w:rsidRDefault="00F341B6" w:rsidP="003318B6">
            <w:pPr>
              <w:pStyle w:val="Objective"/>
              <w:spacing w:before="16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10CD2">
              <w:rPr>
                <w:rFonts w:ascii="Arial Narrow" w:hAnsi="Arial Narrow"/>
                <w:b/>
                <w:sz w:val="24"/>
                <w:szCs w:val="24"/>
              </w:rPr>
              <w:t>Descriptive</w:t>
            </w:r>
            <w:r w:rsidR="00AF3068">
              <w:rPr>
                <w:rFonts w:ascii="Arial Narrow" w:hAnsi="Arial Narrow"/>
                <w:b/>
                <w:sz w:val="24"/>
                <w:szCs w:val="24"/>
              </w:rPr>
              <w:t>, concise,</w:t>
            </w:r>
            <w:r w:rsidRPr="00510CD2">
              <w:rPr>
                <w:rFonts w:ascii="Arial Narrow" w:hAnsi="Arial Narrow"/>
                <w:b/>
                <w:sz w:val="24"/>
                <w:szCs w:val="24"/>
              </w:rPr>
              <w:t xml:space="preserve"> and reflective of the intention of the resolution</w:t>
            </w:r>
          </w:p>
        </w:tc>
      </w:tr>
      <w:tr w:rsidR="00F341B6" w:rsidRPr="004C1666" w14:paraId="18E8ACE5" w14:textId="77777777" w:rsidTr="00FD6B4C">
        <w:tc>
          <w:tcPr>
            <w:tcW w:w="2160" w:type="dxa"/>
            <w:tcBorders>
              <w:bottom w:val="single" w:sz="4" w:space="0" w:color="auto"/>
            </w:tcBorders>
          </w:tcPr>
          <w:p w14:paraId="30DB7D1B" w14:textId="77777777" w:rsidR="00F341B6" w:rsidRPr="004C1666" w:rsidRDefault="00F341B6" w:rsidP="003318B6">
            <w:pPr>
              <w:pStyle w:val="NoTitle"/>
              <w:spacing w:before="16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Subject: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6F5B340C" w14:textId="1BE20FE1" w:rsidR="00F341B6" w:rsidRPr="004C1666" w:rsidRDefault="00F341B6" w:rsidP="003318B6">
            <w:pPr>
              <w:pStyle w:val="Achievement"/>
              <w:spacing w:before="160" w:after="12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4C1666">
              <w:rPr>
                <w:rFonts w:ascii="Arial Narrow" w:hAnsi="Arial Narrow"/>
                <w:sz w:val="24"/>
                <w:szCs w:val="24"/>
              </w:rPr>
              <w:t xml:space="preserve">Health, Education, Treaties, </w:t>
            </w:r>
            <w:r w:rsidR="00B227B8">
              <w:rPr>
                <w:rFonts w:ascii="Arial Narrow" w:hAnsi="Arial Narrow"/>
                <w:sz w:val="24"/>
                <w:szCs w:val="24"/>
              </w:rPr>
              <w:t>etc</w:t>
            </w:r>
            <w:r w:rsidR="000A72F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F341B6" w:rsidRPr="004C1666" w14:paraId="1E4AA843" w14:textId="77777777" w:rsidTr="00FD6B4C">
        <w:tc>
          <w:tcPr>
            <w:tcW w:w="2160" w:type="dxa"/>
            <w:tcBorders>
              <w:bottom w:val="single" w:sz="4" w:space="0" w:color="auto"/>
            </w:tcBorders>
          </w:tcPr>
          <w:p w14:paraId="313D7C79" w14:textId="77777777" w:rsidR="00F341B6" w:rsidRPr="004C1666" w:rsidRDefault="00F341B6" w:rsidP="003318B6">
            <w:pPr>
              <w:pStyle w:val="NoTitle"/>
              <w:spacing w:before="16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C1666">
              <w:rPr>
                <w:rFonts w:ascii="Arial Narrow" w:hAnsi="Arial Narrow"/>
                <w:b/>
                <w:sz w:val="24"/>
                <w:szCs w:val="24"/>
              </w:rPr>
              <w:t>Moved by: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1EDCF90A" w14:textId="77777777" w:rsidR="00F341B6" w:rsidRPr="004C1666" w:rsidRDefault="00F341B6" w:rsidP="003318B6">
            <w:pPr>
              <w:pStyle w:val="Objective"/>
              <w:spacing w:before="16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C1666">
              <w:rPr>
                <w:rFonts w:ascii="Arial Narrow" w:hAnsi="Arial Narrow"/>
                <w:sz w:val="24"/>
                <w:szCs w:val="24"/>
              </w:rPr>
              <w:t>Chief/Proxy, First name and last name, community, province</w:t>
            </w:r>
          </w:p>
        </w:tc>
      </w:tr>
      <w:tr w:rsidR="00F341B6" w:rsidRPr="004C1666" w14:paraId="26A5048E" w14:textId="77777777" w:rsidTr="00FD6B4C">
        <w:tc>
          <w:tcPr>
            <w:tcW w:w="2160" w:type="dxa"/>
            <w:tcBorders>
              <w:bottom w:val="single" w:sz="4" w:space="0" w:color="auto"/>
            </w:tcBorders>
          </w:tcPr>
          <w:p w14:paraId="3125CB96" w14:textId="77777777" w:rsidR="00F341B6" w:rsidRPr="004C1666" w:rsidRDefault="00F341B6" w:rsidP="003318B6">
            <w:pPr>
              <w:pStyle w:val="NoTitle"/>
              <w:spacing w:before="16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C1666">
              <w:rPr>
                <w:rFonts w:ascii="Arial Narrow" w:hAnsi="Arial Narrow"/>
                <w:b/>
                <w:sz w:val="24"/>
                <w:szCs w:val="24"/>
              </w:rPr>
              <w:t>Seconded by: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12000AA5" w14:textId="77777777" w:rsidR="00F341B6" w:rsidRPr="004C1666" w:rsidRDefault="00F341B6" w:rsidP="003318B6">
            <w:pPr>
              <w:pStyle w:val="Objective"/>
              <w:spacing w:before="16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C1666">
              <w:rPr>
                <w:rFonts w:ascii="Arial Narrow" w:hAnsi="Arial Narrow"/>
                <w:sz w:val="24"/>
                <w:szCs w:val="24"/>
              </w:rPr>
              <w:t>Chief/Proxy, First name and last name, community, province</w:t>
            </w:r>
          </w:p>
        </w:tc>
      </w:tr>
    </w:tbl>
    <w:p w14:paraId="23AC804C" w14:textId="77777777" w:rsidR="004077C7" w:rsidRDefault="004077C7" w:rsidP="00F470A8">
      <w:pPr>
        <w:pStyle w:val="NoSpacing"/>
        <w:rPr>
          <w:rFonts w:ascii="Arial Narrow" w:hAnsi="Arial Narrow"/>
          <w:sz w:val="24"/>
          <w:szCs w:val="24"/>
        </w:rPr>
      </w:pPr>
    </w:p>
    <w:p w14:paraId="2BC2ACBE" w14:textId="77777777" w:rsidR="00F341B6" w:rsidRPr="00F341B6" w:rsidRDefault="00F341B6" w:rsidP="00F341B6">
      <w:pPr>
        <w:pStyle w:val="NoSpacing"/>
        <w:rPr>
          <w:rFonts w:ascii="Arial Narrow" w:hAnsi="Arial Narrow"/>
          <w:b/>
          <w:sz w:val="24"/>
          <w:szCs w:val="24"/>
        </w:rPr>
      </w:pPr>
      <w:r w:rsidRPr="00F341B6">
        <w:rPr>
          <w:rFonts w:ascii="Arial Narrow" w:hAnsi="Arial Narrow"/>
          <w:b/>
          <w:sz w:val="24"/>
          <w:szCs w:val="24"/>
        </w:rPr>
        <w:t>WHEREAS:</w:t>
      </w:r>
    </w:p>
    <w:p w14:paraId="6669B349" w14:textId="77777777" w:rsidR="00F341B6" w:rsidRDefault="00F341B6" w:rsidP="00F341B6">
      <w:pPr>
        <w:numPr>
          <w:ilvl w:val="0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 w:rsidRPr="00F341B6">
        <w:rPr>
          <w:rFonts w:ascii="Arial Narrow" w:hAnsi="Arial Narrow"/>
          <w:sz w:val="24"/>
          <w:szCs w:val="24"/>
        </w:rPr>
        <w:t>All resolutions should begin by citing relevant sections of the United Nations Declaration on the Rights of Indigenous Peoples (</w:t>
      </w:r>
      <w:hyperlink r:id="rId7" w:history="1">
        <w:r w:rsidRPr="001B398C">
          <w:rPr>
            <w:rStyle w:val="Hyperlink"/>
            <w:rFonts w:ascii="Arial Narrow" w:hAnsi="Arial Narrow"/>
            <w:sz w:val="24"/>
            <w:szCs w:val="24"/>
          </w:rPr>
          <w:t>http://www.un.org/esa/socdev/unpfii/documents/DRIPS_en.pdf</w:t>
        </w:r>
      </w:hyperlink>
      <w:r>
        <w:rPr>
          <w:rFonts w:ascii="Arial Narrow" w:hAnsi="Arial Narrow"/>
          <w:sz w:val="24"/>
          <w:szCs w:val="24"/>
        </w:rPr>
        <w:t>)</w:t>
      </w:r>
    </w:p>
    <w:p w14:paraId="000FF58E" w14:textId="77777777" w:rsidR="00F341B6" w:rsidRDefault="00F341B6" w:rsidP="00395AE9">
      <w:pPr>
        <w:numPr>
          <w:ilvl w:val="0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 w:rsidRPr="00F341B6">
        <w:rPr>
          <w:rFonts w:ascii="Arial Narrow" w:hAnsi="Arial Narrow"/>
          <w:sz w:val="24"/>
          <w:szCs w:val="24"/>
        </w:rPr>
        <w:t>This section provides the background information for the resolution.</w:t>
      </w:r>
    </w:p>
    <w:p w14:paraId="7F4BE9A0" w14:textId="77777777" w:rsidR="00F341B6" w:rsidRDefault="00F341B6" w:rsidP="00F341B6">
      <w:pPr>
        <w:numPr>
          <w:ilvl w:val="0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 w:rsidRPr="00F341B6">
        <w:rPr>
          <w:rFonts w:ascii="Arial Narrow" w:hAnsi="Arial Narrow"/>
          <w:sz w:val="24"/>
          <w:szCs w:val="24"/>
        </w:rPr>
        <w:t>It identifies the exact problem to be addressed and the rationale.</w:t>
      </w:r>
    </w:p>
    <w:p w14:paraId="1E4EA34D" w14:textId="77777777" w:rsidR="00F341B6" w:rsidRDefault="00F341B6" w:rsidP="00395AE9">
      <w:pPr>
        <w:numPr>
          <w:ilvl w:val="0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 w:rsidRPr="00F341B6">
        <w:rPr>
          <w:rFonts w:ascii="Arial Narrow" w:hAnsi="Arial Narrow"/>
          <w:sz w:val="24"/>
          <w:szCs w:val="24"/>
        </w:rPr>
        <w:t>Each “whereas” is a reason for the resolution and each reason requires a separate clause.</w:t>
      </w:r>
    </w:p>
    <w:p w14:paraId="49DB921F" w14:textId="1724B6B1" w:rsidR="00F341B6" w:rsidRDefault="00F341B6" w:rsidP="00F341B6">
      <w:pPr>
        <w:numPr>
          <w:ilvl w:val="0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 w:rsidRPr="00F341B6">
        <w:rPr>
          <w:rFonts w:ascii="Arial Narrow" w:hAnsi="Arial Narrow"/>
          <w:sz w:val="24"/>
          <w:szCs w:val="24"/>
        </w:rPr>
        <w:t>If the rationale cannot be explained in five clauses or less due to the complexity of the issue, then background or supporting documentation may be attached.</w:t>
      </w:r>
    </w:p>
    <w:p w14:paraId="07817E3D" w14:textId="77777777" w:rsidR="00F341B6" w:rsidRPr="00F341B6" w:rsidRDefault="00F341B6" w:rsidP="00F341B6">
      <w:pPr>
        <w:numPr>
          <w:ilvl w:val="0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 w:rsidRPr="00F341B6">
        <w:rPr>
          <w:rFonts w:ascii="Arial Narrow" w:hAnsi="Arial Narrow"/>
          <w:sz w:val="24"/>
          <w:szCs w:val="24"/>
        </w:rPr>
        <w:t>This section should prepare the reader for the action presented in the “the</w:t>
      </w:r>
      <w:r>
        <w:rPr>
          <w:rFonts w:ascii="Arial Narrow" w:hAnsi="Arial Narrow"/>
          <w:sz w:val="24"/>
          <w:szCs w:val="24"/>
        </w:rPr>
        <w:t xml:space="preserve">refore be it resolved” section </w:t>
      </w:r>
      <w:r w:rsidRPr="00F341B6">
        <w:rPr>
          <w:rFonts w:ascii="Arial Narrow" w:hAnsi="Arial Narrow"/>
          <w:sz w:val="24"/>
          <w:szCs w:val="24"/>
        </w:rPr>
        <w:t>below.</w:t>
      </w:r>
    </w:p>
    <w:p w14:paraId="0DD4AEDF" w14:textId="77777777" w:rsidR="00F341B6" w:rsidRPr="00F341B6" w:rsidRDefault="00F341B6" w:rsidP="00F341B6">
      <w:pPr>
        <w:pStyle w:val="NoSpacing"/>
        <w:rPr>
          <w:rFonts w:ascii="Arial Narrow" w:hAnsi="Arial Narrow"/>
          <w:sz w:val="24"/>
          <w:szCs w:val="24"/>
        </w:rPr>
      </w:pPr>
    </w:p>
    <w:p w14:paraId="33456A25" w14:textId="7A274C6C" w:rsidR="00F341B6" w:rsidRPr="00F341B6" w:rsidRDefault="00F341B6" w:rsidP="00F341B6">
      <w:pPr>
        <w:pStyle w:val="NoSpacing"/>
        <w:rPr>
          <w:rFonts w:ascii="Arial Narrow" w:hAnsi="Arial Narrow"/>
          <w:b/>
          <w:sz w:val="24"/>
          <w:szCs w:val="24"/>
        </w:rPr>
      </w:pPr>
      <w:proofErr w:type="gramStart"/>
      <w:r w:rsidRPr="00F341B6">
        <w:rPr>
          <w:rFonts w:ascii="Arial Narrow" w:hAnsi="Arial Narrow"/>
          <w:b/>
          <w:sz w:val="24"/>
          <w:szCs w:val="24"/>
        </w:rPr>
        <w:t>THEREFORE</w:t>
      </w:r>
      <w:proofErr w:type="gramEnd"/>
      <w:r w:rsidRPr="00F341B6">
        <w:rPr>
          <w:rFonts w:ascii="Arial Narrow" w:hAnsi="Arial Narrow"/>
          <w:b/>
          <w:sz w:val="24"/>
          <w:szCs w:val="24"/>
        </w:rPr>
        <w:t xml:space="preserve"> BE IT RESOLVED that the </w:t>
      </w:r>
      <w:r w:rsidR="00EA184A">
        <w:rPr>
          <w:rFonts w:ascii="Arial Narrow" w:hAnsi="Arial Narrow"/>
          <w:b/>
          <w:sz w:val="24"/>
          <w:szCs w:val="24"/>
        </w:rPr>
        <w:t>First Nations</w:t>
      </w:r>
      <w:r w:rsidRPr="00F341B6">
        <w:rPr>
          <w:rFonts w:ascii="Arial Narrow" w:hAnsi="Arial Narrow"/>
          <w:b/>
          <w:sz w:val="24"/>
          <w:szCs w:val="24"/>
        </w:rPr>
        <w:t>-in-Assembly:</w:t>
      </w:r>
    </w:p>
    <w:p w14:paraId="0905CBB6" w14:textId="77777777" w:rsidR="00F341B6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 w:val="24"/>
          <w:szCs w:val="24"/>
        </w:rPr>
      </w:pPr>
      <w:r w:rsidRPr="00F341B6">
        <w:rPr>
          <w:rFonts w:ascii="Arial Narrow" w:hAnsi="Arial Narrow"/>
          <w:sz w:val="24"/>
          <w:szCs w:val="24"/>
        </w:rPr>
        <w:t>This is the very reason why the resolution is being drafted in the first place.</w:t>
      </w:r>
    </w:p>
    <w:p w14:paraId="3E64B66C" w14:textId="77777777" w:rsidR="00F341B6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 w:val="24"/>
          <w:szCs w:val="24"/>
        </w:rPr>
      </w:pPr>
      <w:r w:rsidRPr="00F341B6">
        <w:rPr>
          <w:rFonts w:ascii="Arial Narrow" w:hAnsi="Arial Narrow"/>
          <w:sz w:val="24"/>
          <w:szCs w:val="24"/>
        </w:rPr>
        <w:t>The course of action that is being put forward should be identified here.</w:t>
      </w:r>
    </w:p>
    <w:p w14:paraId="38B714A4" w14:textId="77777777" w:rsidR="00F341B6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 w:val="24"/>
          <w:szCs w:val="24"/>
        </w:rPr>
      </w:pPr>
      <w:r w:rsidRPr="00F341B6">
        <w:rPr>
          <w:rFonts w:ascii="Arial Narrow" w:hAnsi="Arial Narrow"/>
          <w:sz w:val="24"/>
          <w:szCs w:val="24"/>
        </w:rPr>
        <w:t>Each action requires a separate clause.</w:t>
      </w:r>
    </w:p>
    <w:p w14:paraId="629FB563" w14:textId="77777777" w:rsidR="00F341B6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 w:val="24"/>
          <w:szCs w:val="24"/>
        </w:rPr>
      </w:pPr>
      <w:r w:rsidRPr="00F341B6">
        <w:rPr>
          <w:rFonts w:ascii="Arial Narrow" w:hAnsi="Arial Narrow"/>
          <w:sz w:val="24"/>
          <w:szCs w:val="24"/>
        </w:rPr>
        <w:t>Be as clear as possible when stating what the resolution is meant to achieve.</w:t>
      </w:r>
    </w:p>
    <w:p w14:paraId="23FE80B1" w14:textId="77777777" w:rsidR="00F341B6" w:rsidRDefault="00F341B6" w:rsidP="00395AE9">
      <w:pPr>
        <w:numPr>
          <w:ilvl w:val="0"/>
          <w:numId w:val="3"/>
        </w:numPr>
        <w:spacing w:before="120"/>
        <w:jc w:val="left"/>
        <w:rPr>
          <w:rFonts w:ascii="Arial Narrow" w:hAnsi="Arial Narrow"/>
          <w:sz w:val="24"/>
          <w:szCs w:val="24"/>
        </w:rPr>
      </w:pPr>
      <w:r w:rsidRPr="00F341B6">
        <w:rPr>
          <w:rFonts w:ascii="Arial Narrow" w:hAnsi="Arial Narrow"/>
          <w:sz w:val="24"/>
          <w:szCs w:val="24"/>
        </w:rPr>
        <w:t>Try to begin each clause with an action verb (direct, call-upon, request, etc.).</w:t>
      </w:r>
    </w:p>
    <w:p w14:paraId="759BC516" w14:textId="77777777" w:rsidR="00F341B6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 w:val="24"/>
          <w:szCs w:val="24"/>
        </w:rPr>
      </w:pPr>
      <w:r w:rsidRPr="00F341B6">
        <w:rPr>
          <w:rFonts w:ascii="Arial Narrow" w:hAnsi="Arial Narrow"/>
          <w:sz w:val="24"/>
          <w:szCs w:val="24"/>
        </w:rPr>
        <w:t>There should be no doubt as to what action is being requested, who should do it, how it should be done and when it should be done.</w:t>
      </w:r>
    </w:p>
    <w:p w14:paraId="73E4E56F" w14:textId="25CE47B3" w:rsidR="00F341B6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 w:val="24"/>
          <w:szCs w:val="24"/>
        </w:rPr>
      </w:pPr>
      <w:r w:rsidRPr="00F341B6">
        <w:rPr>
          <w:rFonts w:ascii="Arial Narrow" w:hAnsi="Arial Narrow"/>
          <w:sz w:val="24"/>
          <w:szCs w:val="24"/>
        </w:rPr>
        <w:t>Clauses addressing federal issues should direct the AFN to request the federal government to work to</w:t>
      </w:r>
      <w:r>
        <w:rPr>
          <w:rFonts w:ascii="Arial Narrow" w:hAnsi="Arial Narrow"/>
          <w:sz w:val="24"/>
          <w:szCs w:val="24"/>
        </w:rPr>
        <w:t xml:space="preserve"> achieve the desired objective, </w:t>
      </w:r>
      <w:r w:rsidRPr="00F341B6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.</w:t>
      </w:r>
      <w:r w:rsidRPr="00F341B6">
        <w:rPr>
          <w:rFonts w:ascii="Arial Narrow" w:hAnsi="Arial Narrow"/>
          <w:sz w:val="24"/>
          <w:szCs w:val="24"/>
        </w:rPr>
        <w:t>g</w:t>
      </w:r>
      <w:r>
        <w:rPr>
          <w:rFonts w:ascii="Arial Narrow" w:hAnsi="Arial Narrow"/>
          <w:sz w:val="24"/>
          <w:szCs w:val="24"/>
        </w:rPr>
        <w:t>.</w:t>
      </w:r>
      <w:r w:rsidRPr="00F341B6">
        <w:rPr>
          <w:rFonts w:ascii="Arial Narrow" w:hAnsi="Arial Narrow"/>
          <w:sz w:val="24"/>
          <w:szCs w:val="24"/>
        </w:rPr>
        <w:t xml:space="preserve">, “that the </w:t>
      </w:r>
      <w:r w:rsidR="00EA184A">
        <w:rPr>
          <w:rFonts w:ascii="Arial Narrow" w:hAnsi="Arial Narrow"/>
          <w:sz w:val="24"/>
          <w:szCs w:val="24"/>
        </w:rPr>
        <w:t>First Nations</w:t>
      </w:r>
      <w:r w:rsidRPr="00F341B6">
        <w:rPr>
          <w:rFonts w:ascii="Arial Narrow" w:hAnsi="Arial Narrow"/>
          <w:sz w:val="24"/>
          <w:szCs w:val="24"/>
        </w:rPr>
        <w:t>-in-Assembly direct the AFN to ur</w:t>
      </w:r>
      <w:r>
        <w:rPr>
          <w:rFonts w:ascii="Arial Narrow" w:hAnsi="Arial Narrow"/>
          <w:sz w:val="24"/>
          <w:szCs w:val="24"/>
        </w:rPr>
        <w:t>ge the federal government to…”</w:t>
      </w:r>
    </w:p>
    <w:p w14:paraId="2F42CAB0" w14:textId="10CBD04E" w:rsidR="00F341B6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</w:t>
      </w:r>
      <w:r w:rsidR="00EA184A">
        <w:rPr>
          <w:rFonts w:ascii="Arial Narrow" w:hAnsi="Arial Narrow"/>
          <w:sz w:val="24"/>
          <w:szCs w:val="24"/>
        </w:rPr>
        <w:t>First Nations</w:t>
      </w:r>
      <w:r>
        <w:rPr>
          <w:rFonts w:ascii="Arial Narrow" w:hAnsi="Arial Narrow"/>
          <w:sz w:val="24"/>
          <w:szCs w:val="24"/>
        </w:rPr>
        <w:t>-in-Assembly can</w:t>
      </w:r>
      <w:r w:rsidRPr="00F341B6">
        <w:rPr>
          <w:rFonts w:ascii="Arial Narrow" w:hAnsi="Arial Narrow"/>
          <w:sz w:val="24"/>
          <w:szCs w:val="24"/>
        </w:rPr>
        <w:t>not direct another organization or government to do something, however, a course of action can be recommended to another organization.</w:t>
      </w:r>
    </w:p>
    <w:p w14:paraId="3066830D" w14:textId="77777777" w:rsidR="00F341B6" w:rsidRPr="00F341B6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 w:val="24"/>
          <w:szCs w:val="24"/>
        </w:rPr>
      </w:pPr>
      <w:r w:rsidRPr="00F341B6">
        <w:rPr>
          <w:rFonts w:ascii="Arial Narrow" w:hAnsi="Arial Narrow"/>
          <w:sz w:val="24"/>
          <w:szCs w:val="24"/>
        </w:rPr>
        <w:t>A recommendation for action must consider the cost of doing so and may be contingent upon funding – any available funding sources should be identified in the resolution.</w:t>
      </w:r>
    </w:p>
    <w:sectPr w:rsidR="00F341B6" w:rsidRPr="00F341B6" w:rsidSect="00A2730D">
      <w:headerReference w:type="default" r:id="rId8"/>
      <w:footerReference w:type="default" r:id="rId9"/>
      <w:pgSz w:w="12240" w:h="15840"/>
      <w:pgMar w:top="1440" w:right="1440" w:bottom="1440" w:left="1440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630CC" w14:textId="77777777" w:rsidR="001C23F4" w:rsidRDefault="001C23F4" w:rsidP="00F470A8">
      <w:r>
        <w:separator/>
      </w:r>
    </w:p>
  </w:endnote>
  <w:endnote w:type="continuationSeparator" w:id="0">
    <w:p w14:paraId="3C0C35D1" w14:textId="77777777" w:rsidR="001C23F4" w:rsidRDefault="001C23F4" w:rsidP="00F4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151C8" w14:textId="77777777" w:rsidR="00F341B6" w:rsidRPr="00F341B6" w:rsidRDefault="00F341B6" w:rsidP="00F341B6">
    <w:pPr>
      <w:pStyle w:val="Footer"/>
      <w:tabs>
        <w:tab w:val="clear" w:pos="4680"/>
      </w:tabs>
      <w:rPr>
        <w:rFonts w:ascii="Arial" w:hAnsi="Arial" w:cs="Arial"/>
        <w:i/>
        <w:sz w:val="20"/>
        <w:lang w:val="en-CA"/>
      </w:rPr>
    </w:pPr>
    <w:r w:rsidRPr="00F341B6">
      <w:rPr>
        <w:rFonts w:ascii="Arial" w:hAnsi="Arial" w:cs="Arial"/>
        <w:i/>
        <w:sz w:val="20"/>
        <w:lang w:val="en-CA"/>
      </w:rPr>
      <w:t>AFN Draft Resolution Template</w:t>
    </w:r>
    <w:r w:rsidRPr="00F341B6">
      <w:rPr>
        <w:rFonts w:ascii="Arial" w:hAnsi="Arial" w:cs="Arial"/>
        <w:i/>
        <w:sz w:val="20"/>
        <w:lang w:val="en-CA"/>
      </w:rPr>
      <w:tab/>
      <w:t xml:space="preserve">page </w:t>
    </w:r>
    <w:r w:rsidRPr="00F341B6">
      <w:rPr>
        <w:rFonts w:ascii="Arial" w:hAnsi="Arial" w:cs="Arial"/>
        <w:b/>
        <w:i/>
        <w:sz w:val="20"/>
      </w:rPr>
      <w:fldChar w:fldCharType="begin"/>
    </w:r>
    <w:r w:rsidRPr="00F341B6">
      <w:rPr>
        <w:rFonts w:ascii="Arial" w:hAnsi="Arial" w:cs="Arial"/>
        <w:b/>
        <w:i/>
        <w:sz w:val="20"/>
      </w:rPr>
      <w:instrText xml:space="preserve"> PAGE </w:instrText>
    </w:r>
    <w:r w:rsidRPr="00F341B6">
      <w:rPr>
        <w:rFonts w:ascii="Arial" w:hAnsi="Arial" w:cs="Arial"/>
        <w:b/>
        <w:i/>
        <w:sz w:val="20"/>
      </w:rPr>
      <w:fldChar w:fldCharType="separate"/>
    </w:r>
    <w:r w:rsidR="004A11C2">
      <w:rPr>
        <w:rFonts w:ascii="Arial" w:hAnsi="Arial" w:cs="Arial"/>
        <w:b/>
        <w:i/>
        <w:noProof/>
        <w:sz w:val="20"/>
      </w:rPr>
      <w:t>1</w:t>
    </w:r>
    <w:r w:rsidRPr="00F341B6">
      <w:rPr>
        <w:rFonts w:ascii="Arial" w:hAnsi="Arial" w:cs="Arial"/>
        <w:b/>
        <w:i/>
        <w:sz w:val="20"/>
      </w:rPr>
      <w:fldChar w:fldCharType="end"/>
    </w:r>
    <w:r w:rsidRPr="00F341B6">
      <w:rPr>
        <w:rFonts w:ascii="Arial" w:hAnsi="Arial" w:cs="Arial"/>
        <w:b/>
        <w:i/>
        <w:sz w:val="20"/>
      </w:rPr>
      <w:t xml:space="preserve"> </w:t>
    </w:r>
    <w:r w:rsidRPr="00F341B6">
      <w:rPr>
        <w:rFonts w:ascii="Arial" w:hAnsi="Arial" w:cs="Arial"/>
        <w:i/>
        <w:sz w:val="20"/>
      </w:rPr>
      <w:t xml:space="preserve">of </w:t>
    </w:r>
    <w:r w:rsidRPr="00F341B6">
      <w:rPr>
        <w:rFonts w:ascii="Arial" w:hAnsi="Arial" w:cs="Arial"/>
        <w:b/>
        <w:i/>
        <w:sz w:val="20"/>
      </w:rPr>
      <w:fldChar w:fldCharType="begin"/>
    </w:r>
    <w:r w:rsidRPr="00F341B6">
      <w:rPr>
        <w:rFonts w:ascii="Arial" w:hAnsi="Arial" w:cs="Arial"/>
        <w:b/>
        <w:i/>
        <w:sz w:val="20"/>
      </w:rPr>
      <w:instrText xml:space="preserve"> NUMPAGES  </w:instrText>
    </w:r>
    <w:r w:rsidRPr="00F341B6">
      <w:rPr>
        <w:rFonts w:ascii="Arial" w:hAnsi="Arial" w:cs="Arial"/>
        <w:b/>
        <w:i/>
        <w:sz w:val="20"/>
      </w:rPr>
      <w:fldChar w:fldCharType="separate"/>
    </w:r>
    <w:r w:rsidR="004A11C2">
      <w:rPr>
        <w:rFonts w:ascii="Arial" w:hAnsi="Arial" w:cs="Arial"/>
        <w:b/>
        <w:i/>
        <w:noProof/>
        <w:sz w:val="20"/>
      </w:rPr>
      <w:t>1</w:t>
    </w:r>
    <w:r w:rsidRPr="00F341B6">
      <w:rPr>
        <w:rFonts w:ascii="Arial" w:hAnsi="Arial" w:cs="Arial"/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4743B" w14:textId="77777777" w:rsidR="001C23F4" w:rsidRDefault="001C23F4" w:rsidP="00F470A8">
      <w:r>
        <w:separator/>
      </w:r>
    </w:p>
  </w:footnote>
  <w:footnote w:type="continuationSeparator" w:id="0">
    <w:p w14:paraId="2DA950E2" w14:textId="77777777" w:rsidR="001C23F4" w:rsidRDefault="001C23F4" w:rsidP="00F4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9C34F" w14:textId="117523F7" w:rsidR="00F470A8" w:rsidRPr="003318B6" w:rsidRDefault="00F470A8" w:rsidP="00F470A8">
    <w:pPr>
      <w:pStyle w:val="Header"/>
      <w:jc w:val="center"/>
      <w:rPr>
        <w:rFonts w:ascii="Arial" w:hAnsi="Arial" w:cs="Arial"/>
        <w:b/>
        <w:spacing w:val="120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318B6">
      <w:rPr>
        <w:rFonts w:ascii="Arial" w:hAnsi="Arial" w:cs="Arial"/>
        <w:b/>
        <w:spacing w:val="120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DRAFT RESOLUTION #00/20</w:t>
    </w:r>
    <w:r w:rsidR="00B202A3">
      <w:rPr>
        <w:rFonts w:ascii="Arial" w:hAnsi="Arial" w:cs="Arial"/>
        <w:b/>
        <w:spacing w:val="120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6D438F">
      <w:rPr>
        <w:rFonts w:ascii="Arial" w:hAnsi="Arial" w:cs="Arial"/>
        <w:b/>
        <w:spacing w:val="120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</w:p>
  <w:p w14:paraId="2E365F4E" w14:textId="77777777" w:rsidR="00F470A8" w:rsidRPr="003318B6" w:rsidRDefault="00F470A8" w:rsidP="00F470A8">
    <w:pPr>
      <w:pStyle w:val="Header"/>
      <w:jc w:val="center"/>
      <w:rPr>
        <w:rFonts w:ascii="Arial" w:hAnsi="Arial" w:cs="Arial"/>
        <w:b/>
        <w:spacing w:val="120"/>
        <w:sz w:val="28"/>
        <w:szCs w:val="24"/>
      </w:rPr>
    </w:pPr>
  </w:p>
  <w:p w14:paraId="05DD5834" w14:textId="77777777" w:rsidR="00DA0FC4" w:rsidRPr="003318B6" w:rsidRDefault="00DA0FC4" w:rsidP="00DA0FC4">
    <w:pPr>
      <w:tabs>
        <w:tab w:val="center" w:pos="4680"/>
        <w:tab w:val="right" w:pos="9360"/>
      </w:tabs>
      <w:jc w:val="center"/>
      <w:rPr>
        <w:rFonts w:ascii="Arial" w:hAnsi="Arial" w:cs="Arial"/>
        <w:sz w:val="28"/>
        <w:szCs w:val="24"/>
      </w:rPr>
    </w:pPr>
    <w:r w:rsidRPr="008A385F">
      <w:rPr>
        <w:rFonts w:ascii="Arial" w:hAnsi="Arial" w:cs="Arial"/>
        <w:b/>
        <w:sz w:val="28"/>
        <w:szCs w:val="24"/>
      </w:rPr>
      <w:t xml:space="preserve">AFN Special Chiefs Assembly, </w:t>
    </w:r>
    <w:r>
      <w:rPr>
        <w:rFonts w:ascii="Arial" w:hAnsi="Arial" w:cs="Arial"/>
        <w:b/>
        <w:sz w:val="28"/>
        <w:szCs w:val="24"/>
      </w:rPr>
      <w:t>December 3-5</w:t>
    </w:r>
    <w:r w:rsidRPr="008A385F">
      <w:rPr>
        <w:rFonts w:ascii="Arial" w:hAnsi="Arial" w:cs="Arial"/>
        <w:b/>
        <w:sz w:val="28"/>
        <w:szCs w:val="24"/>
      </w:rPr>
      <w:t>, 202</w:t>
    </w:r>
    <w:r>
      <w:rPr>
        <w:rFonts w:ascii="Arial" w:hAnsi="Arial" w:cs="Arial"/>
        <w:b/>
        <w:sz w:val="28"/>
        <w:szCs w:val="24"/>
      </w:rPr>
      <w:t>4</w:t>
    </w:r>
    <w:r w:rsidRPr="008A385F">
      <w:rPr>
        <w:rFonts w:ascii="Arial" w:hAnsi="Arial" w:cs="Arial"/>
        <w:b/>
        <w:sz w:val="28"/>
        <w:szCs w:val="24"/>
      </w:rPr>
      <w:t>, Ottawa, ON</w:t>
    </w:r>
  </w:p>
  <w:p w14:paraId="60F7BAF0" w14:textId="77777777" w:rsidR="00F341B6" w:rsidRPr="00F341B6" w:rsidRDefault="00F341B6" w:rsidP="00F470A8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74FF"/>
    <w:multiLevelType w:val="hybridMultilevel"/>
    <w:tmpl w:val="6F36C224"/>
    <w:lvl w:ilvl="0" w:tplc="4596EE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009001B">
      <w:start w:val="1"/>
      <w:numFmt w:val="lowerRoman"/>
      <w:lvlText w:val="%2."/>
      <w:lvlJc w:val="righ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07762A"/>
    <w:multiLevelType w:val="hybridMultilevel"/>
    <w:tmpl w:val="0310BAE8"/>
    <w:lvl w:ilvl="0" w:tplc="A62670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B58B3"/>
    <w:multiLevelType w:val="hybridMultilevel"/>
    <w:tmpl w:val="F55EB6A0"/>
    <w:lvl w:ilvl="0" w:tplc="F394FA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1643018">
    <w:abstractNumId w:val="1"/>
  </w:num>
  <w:num w:numId="2" w16cid:durableId="442115870">
    <w:abstractNumId w:val="0"/>
  </w:num>
  <w:num w:numId="3" w16cid:durableId="1056512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A8"/>
    <w:rsid w:val="000A72F3"/>
    <w:rsid w:val="000F2088"/>
    <w:rsid w:val="001C23F4"/>
    <w:rsid w:val="00312EC1"/>
    <w:rsid w:val="003318B6"/>
    <w:rsid w:val="00395AE9"/>
    <w:rsid w:val="004077C7"/>
    <w:rsid w:val="00432C31"/>
    <w:rsid w:val="004A11C2"/>
    <w:rsid w:val="00510CD2"/>
    <w:rsid w:val="00515D30"/>
    <w:rsid w:val="00566A26"/>
    <w:rsid w:val="00615570"/>
    <w:rsid w:val="006D438F"/>
    <w:rsid w:val="007E5FA8"/>
    <w:rsid w:val="009D13F7"/>
    <w:rsid w:val="009D4816"/>
    <w:rsid w:val="00A2730D"/>
    <w:rsid w:val="00A65509"/>
    <w:rsid w:val="00A81AC2"/>
    <w:rsid w:val="00AE56BF"/>
    <w:rsid w:val="00AF3068"/>
    <w:rsid w:val="00B202A3"/>
    <w:rsid w:val="00B227B8"/>
    <w:rsid w:val="00C950D7"/>
    <w:rsid w:val="00CD0BA9"/>
    <w:rsid w:val="00DA0FC4"/>
    <w:rsid w:val="00E84BBD"/>
    <w:rsid w:val="00EA0D7E"/>
    <w:rsid w:val="00EA184A"/>
    <w:rsid w:val="00F0180B"/>
    <w:rsid w:val="00F021EC"/>
    <w:rsid w:val="00F341B6"/>
    <w:rsid w:val="00F4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953DB"/>
  <w15:docId w15:val="{EA9EFC4F-41D0-419E-8AB5-18666D26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1B6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0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7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0A8"/>
  </w:style>
  <w:style w:type="paragraph" w:styleId="Footer">
    <w:name w:val="footer"/>
    <w:basedOn w:val="Normal"/>
    <w:link w:val="FooterChar"/>
    <w:uiPriority w:val="99"/>
    <w:unhideWhenUsed/>
    <w:rsid w:val="00F47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0A8"/>
  </w:style>
  <w:style w:type="paragraph" w:customStyle="1" w:styleId="Objective">
    <w:name w:val="Objective"/>
    <w:basedOn w:val="Normal"/>
    <w:next w:val="BodyText"/>
    <w:rsid w:val="00F341B6"/>
    <w:pPr>
      <w:spacing w:before="60" w:after="220" w:line="220" w:lineRule="atLeast"/>
    </w:pPr>
  </w:style>
  <w:style w:type="paragraph" w:customStyle="1" w:styleId="Achievement">
    <w:name w:val="Achievement"/>
    <w:basedOn w:val="BodyText"/>
    <w:rsid w:val="00F341B6"/>
    <w:pPr>
      <w:spacing w:after="60" w:line="240" w:lineRule="atLeast"/>
      <w:ind w:left="240" w:hanging="240"/>
    </w:pPr>
  </w:style>
  <w:style w:type="paragraph" w:customStyle="1" w:styleId="NoTitle">
    <w:name w:val="No Title"/>
    <w:basedOn w:val="Normal"/>
    <w:rsid w:val="00F341B6"/>
    <w:pPr>
      <w:spacing w:before="220" w:line="220" w:lineRule="atLeast"/>
      <w:jc w:val="left"/>
    </w:pPr>
    <w:rPr>
      <w:caps/>
      <w:spacing w:val="15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4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41B6"/>
    <w:rPr>
      <w:rFonts w:ascii="Garamond" w:eastAsia="Times New Roman" w:hAnsi="Garamond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341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81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3068"/>
    <w:pPr>
      <w:spacing w:after="0" w:line="240" w:lineRule="auto"/>
    </w:pPr>
    <w:rPr>
      <w:rFonts w:ascii="Garamond" w:eastAsia="Times New Roman" w:hAnsi="Garamond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3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0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068"/>
    <w:rPr>
      <w:rFonts w:ascii="Garamond" w:eastAsia="Times New Roman" w:hAnsi="Garamond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068"/>
    <w:rPr>
      <w:rFonts w:ascii="Garamond" w:eastAsia="Times New Roman" w:hAnsi="Garamond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.org/esa/socdev/unpfii/documents/DRIPS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Kettler</dc:creator>
  <cp:lastModifiedBy>Regina Toulouse</cp:lastModifiedBy>
  <cp:revision>2</cp:revision>
  <cp:lastPrinted>2016-04-11T20:16:00Z</cp:lastPrinted>
  <dcterms:created xsi:type="dcterms:W3CDTF">2024-09-26T12:07:00Z</dcterms:created>
  <dcterms:modified xsi:type="dcterms:W3CDTF">2024-09-26T12:07:00Z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d9710f58af1cc008263f597a34e39160743f788003560f27db4138771bfff860</vt:lpwstr>
  </property>
</Properties>
</file>